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597D" w14:textId="77777777" w:rsidR="00764478" w:rsidRDefault="00286333" w:rsidP="00A8532D">
      <w:pPr>
        <w:pStyle w:val="Heading1"/>
        <w:numPr>
          <w:ilvl w:val="0"/>
          <w:numId w:val="0"/>
        </w:numPr>
        <w:pBdr>
          <w:top w:val="single" w:sz="4" w:space="0" w:color="auto"/>
        </w:pBdr>
        <w:spacing w:before="0" w:after="0"/>
        <w:ind w:left="720"/>
      </w:pPr>
      <w:r>
        <w:t>ANNUAL WORK PLAN 2019</w:t>
      </w:r>
    </w:p>
    <w:p w14:paraId="1D4E8D3B" w14:textId="6BB1FED0" w:rsidR="00561F3F" w:rsidRDefault="00AD4249" w:rsidP="00A8532D">
      <w:pPr>
        <w:pStyle w:val="Heading1"/>
        <w:numPr>
          <w:ilvl w:val="0"/>
          <w:numId w:val="0"/>
        </w:numPr>
        <w:pBdr>
          <w:top w:val="single" w:sz="4" w:space="0" w:color="auto"/>
        </w:pBdr>
        <w:spacing w:before="0" w:after="0"/>
        <w:ind w:left="720"/>
      </w:pPr>
      <w:r>
        <w:br w:type="page"/>
      </w:r>
      <w:r w:rsidR="001C20D9">
        <w:lastRenderedPageBreak/>
        <w:t>annual work-plan (201</w:t>
      </w:r>
      <w:r w:rsidR="00C2798D">
        <w:rPr>
          <w:lang w:val="en-US"/>
        </w:rPr>
        <w:t>9</w:t>
      </w:r>
      <w:r w:rsidR="001C20D9">
        <w:t>)</w:t>
      </w:r>
    </w:p>
    <w:p w14:paraId="68BC3613" w14:textId="77777777" w:rsidR="00D06432" w:rsidRPr="00D06432" w:rsidRDefault="00D06432" w:rsidP="00D06432"/>
    <w:tbl>
      <w:tblPr>
        <w:tblStyle w:val="2"/>
        <w:tblW w:w="15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4056"/>
        <w:gridCol w:w="557"/>
        <w:gridCol w:w="554"/>
        <w:gridCol w:w="554"/>
        <w:gridCol w:w="557"/>
        <w:gridCol w:w="1723"/>
        <w:gridCol w:w="1256"/>
        <w:gridCol w:w="2173"/>
        <w:gridCol w:w="1978"/>
      </w:tblGrid>
      <w:tr w:rsidR="00E0506E" w14:paraId="5420853A" w14:textId="77777777" w:rsidTr="00D06432">
        <w:trPr>
          <w:trHeight w:val="462"/>
        </w:trPr>
        <w:tc>
          <w:tcPr>
            <w:tcW w:w="2335" w:type="dxa"/>
            <w:vMerge w:val="restart"/>
            <w:shd w:val="clear" w:color="auto" w:fill="FFFF99"/>
          </w:tcPr>
          <w:p w14:paraId="5D9A1809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EXPECTED OUTPUTS</w:t>
            </w:r>
          </w:p>
          <w:p w14:paraId="7B990C60" w14:textId="77777777" w:rsidR="00E0506E" w:rsidRDefault="00E0506E" w:rsidP="00930031">
            <w:pPr>
              <w:keepNext/>
              <w:spacing w:before="60"/>
              <w:rPr>
                <w:b/>
                <w:i/>
              </w:rPr>
            </w:pPr>
          </w:p>
        </w:tc>
        <w:tc>
          <w:tcPr>
            <w:tcW w:w="4056" w:type="dxa"/>
            <w:vMerge w:val="restart"/>
            <w:shd w:val="clear" w:color="auto" w:fill="FFFF99"/>
          </w:tcPr>
          <w:p w14:paraId="397CA96C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PLANNED ACTIVITIES</w:t>
            </w:r>
          </w:p>
          <w:p w14:paraId="0B0EC7DB" w14:textId="77777777" w:rsidR="00E0506E" w:rsidRDefault="00E0506E" w:rsidP="00930031">
            <w:pPr>
              <w:widowControl w:val="0"/>
              <w:spacing w:after="0" w:line="276" w:lineRule="auto"/>
              <w:jc w:val="left"/>
              <w:rPr>
                <w:b/>
              </w:rPr>
            </w:pPr>
          </w:p>
          <w:p w14:paraId="7E7C7976" w14:textId="77777777" w:rsidR="00E0506E" w:rsidRDefault="00E0506E" w:rsidP="00930031">
            <w:pPr>
              <w:keepNext/>
              <w:spacing w:before="60"/>
              <w:jc w:val="left"/>
              <w:rPr>
                <w:b/>
                <w:i/>
              </w:rPr>
            </w:pPr>
          </w:p>
        </w:tc>
        <w:tc>
          <w:tcPr>
            <w:tcW w:w="2222" w:type="dxa"/>
            <w:gridSpan w:val="4"/>
            <w:shd w:val="clear" w:color="auto" w:fill="FFFF99"/>
          </w:tcPr>
          <w:p w14:paraId="084C8CEC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1723" w:type="dxa"/>
            <w:vMerge w:val="restart"/>
            <w:shd w:val="clear" w:color="auto" w:fill="FFFF99"/>
          </w:tcPr>
          <w:p w14:paraId="7BC6E052" w14:textId="77777777" w:rsidR="00E0506E" w:rsidRDefault="00E0506E" w:rsidP="00930031">
            <w:pPr>
              <w:keepNext/>
              <w:spacing w:before="60"/>
              <w:jc w:val="left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5407" w:type="dxa"/>
            <w:gridSpan w:val="3"/>
            <w:shd w:val="clear" w:color="auto" w:fill="FFFF99"/>
          </w:tcPr>
          <w:p w14:paraId="17989889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PLANNED BUDGET</w:t>
            </w:r>
          </w:p>
        </w:tc>
      </w:tr>
      <w:tr w:rsidR="00E0506E" w14:paraId="5C9BD43E" w14:textId="77777777" w:rsidTr="00D06432">
        <w:trPr>
          <w:trHeight w:val="709"/>
        </w:trPr>
        <w:tc>
          <w:tcPr>
            <w:tcW w:w="2335" w:type="dxa"/>
            <w:vMerge/>
            <w:shd w:val="clear" w:color="auto" w:fill="FFFF99"/>
          </w:tcPr>
          <w:p w14:paraId="7EA3EA84" w14:textId="62F8B724" w:rsidR="00E0506E" w:rsidRDefault="00E0506E" w:rsidP="00930031">
            <w:pPr>
              <w:widowControl w:val="0"/>
              <w:spacing w:after="0" w:line="276" w:lineRule="auto"/>
              <w:jc w:val="left"/>
              <w:rPr>
                <w:b/>
              </w:rPr>
            </w:pPr>
          </w:p>
        </w:tc>
        <w:tc>
          <w:tcPr>
            <w:tcW w:w="4056" w:type="dxa"/>
            <w:vMerge/>
            <w:shd w:val="clear" w:color="auto" w:fill="FFFF99"/>
          </w:tcPr>
          <w:p w14:paraId="035D86A4" w14:textId="77777777" w:rsidR="00E0506E" w:rsidRDefault="00E0506E" w:rsidP="00930031">
            <w:pPr>
              <w:keepNext/>
              <w:spacing w:before="60"/>
              <w:jc w:val="left"/>
            </w:pPr>
          </w:p>
        </w:tc>
        <w:tc>
          <w:tcPr>
            <w:tcW w:w="557" w:type="dxa"/>
            <w:shd w:val="clear" w:color="auto" w:fill="FFFF99"/>
          </w:tcPr>
          <w:p w14:paraId="3602EDA3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Q1</w:t>
            </w:r>
          </w:p>
        </w:tc>
        <w:tc>
          <w:tcPr>
            <w:tcW w:w="554" w:type="dxa"/>
            <w:shd w:val="clear" w:color="auto" w:fill="FFFF99"/>
          </w:tcPr>
          <w:p w14:paraId="29635890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554" w:type="dxa"/>
            <w:shd w:val="clear" w:color="auto" w:fill="FFFF99"/>
          </w:tcPr>
          <w:p w14:paraId="634957B0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557" w:type="dxa"/>
            <w:shd w:val="clear" w:color="auto" w:fill="FFFF99"/>
          </w:tcPr>
          <w:p w14:paraId="0FB5F0CE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Q4</w:t>
            </w:r>
          </w:p>
        </w:tc>
        <w:tc>
          <w:tcPr>
            <w:tcW w:w="1723" w:type="dxa"/>
            <w:vMerge/>
            <w:shd w:val="clear" w:color="auto" w:fill="FFFF99"/>
          </w:tcPr>
          <w:p w14:paraId="51E3B799" w14:textId="77777777" w:rsidR="00E0506E" w:rsidRDefault="00E0506E" w:rsidP="00930031">
            <w:pPr>
              <w:keepNext/>
              <w:spacing w:before="60"/>
              <w:jc w:val="left"/>
            </w:pPr>
          </w:p>
        </w:tc>
        <w:tc>
          <w:tcPr>
            <w:tcW w:w="1256" w:type="dxa"/>
            <w:shd w:val="clear" w:color="auto" w:fill="FFFF99"/>
          </w:tcPr>
          <w:p w14:paraId="28073B3B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2173" w:type="dxa"/>
            <w:shd w:val="clear" w:color="auto" w:fill="FFFF99"/>
          </w:tcPr>
          <w:p w14:paraId="38780753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Budget Description  </w:t>
            </w:r>
          </w:p>
        </w:tc>
        <w:tc>
          <w:tcPr>
            <w:tcW w:w="1978" w:type="dxa"/>
            <w:shd w:val="clear" w:color="auto" w:fill="FFFF99"/>
          </w:tcPr>
          <w:p w14:paraId="6FBDBA2A" w14:textId="77777777" w:rsidR="00E0506E" w:rsidRDefault="00E0506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930031" w14:paraId="15F7232D" w14:textId="77777777" w:rsidTr="00841117">
        <w:trPr>
          <w:trHeight w:val="3680"/>
        </w:trPr>
        <w:tc>
          <w:tcPr>
            <w:tcW w:w="2335" w:type="dxa"/>
            <w:shd w:val="clear" w:color="auto" w:fill="auto"/>
          </w:tcPr>
          <w:p w14:paraId="612A3972" w14:textId="77777777" w:rsidR="00930031" w:rsidRDefault="00930031" w:rsidP="00930031">
            <w:pPr>
              <w:spacing w:before="60" w:after="0"/>
              <w:jc w:val="lef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Output 1: </w:t>
            </w:r>
          </w:p>
          <w:p w14:paraId="2BEAABF9" w14:textId="77777777" w:rsidR="00930031" w:rsidRDefault="00930031" w:rsidP="00930031">
            <w:pPr>
              <w:spacing w:before="60" w:after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Improved availability of medicines and effectiveness of diagnosis and treatment through a stronger national health care procurement system </w:t>
            </w:r>
          </w:p>
          <w:p w14:paraId="64D435F6" w14:textId="77777777" w:rsidR="00930031" w:rsidRDefault="00930031" w:rsidP="00930031">
            <w:pPr>
              <w:spacing w:before="60" w:after="0"/>
              <w:jc w:val="left"/>
              <w:rPr>
                <w:b/>
                <w:i/>
              </w:rPr>
            </w:pPr>
          </w:p>
          <w:p w14:paraId="07B20CAD" w14:textId="77777777" w:rsidR="00930031" w:rsidRDefault="00930031" w:rsidP="008B7FB1">
            <w:pPr>
              <w:spacing w:before="60" w:after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8B7FB1">
              <w:rPr>
                <w:b/>
              </w:rPr>
              <w:t>Gender marker</w:t>
            </w:r>
            <w:r w:rsidR="00CF2FE4">
              <w:rPr>
                <w:b/>
              </w:rPr>
              <w:t>:</w:t>
            </w:r>
            <w:r w:rsidR="003320CD">
              <w:rPr>
                <w:b/>
              </w:rPr>
              <w:t xml:space="preserve"> (GEN1)</w:t>
            </w:r>
          </w:p>
          <w:p w14:paraId="259A0D0D" w14:textId="77777777" w:rsidR="00631F5B" w:rsidRDefault="00631F5B" w:rsidP="008B7FB1">
            <w:pPr>
              <w:spacing w:before="60" w:after="0"/>
              <w:jc w:val="left"/>
              <w:rPr>
                <w:b/>
                <w:u w:val="single"/>
              </w:rPr>
            </w:pPr>
          </w:p>
          <w:p w14:paraId="1291E271" w14:textId="7A07FD7A" w:rsidR="00631F5B" w:rsidRDefault="000D4669" w:rsidP="008B7FB1">
            <w:pPr>
              <w:spacing w:before="60" w:after="0"/>
              <w:jc w:val="left"/>
              <w:rPr>
                <w:b/>
              </w:rPr>
            </w:pPr>
            <w:r>
              <w:rPr>
                <w:b/>
              </w:rPr>
              <w:t>Indicators:</w:t>
            </w:r>
          </w:p>
          <w:p w14:paraId="7FD0CBC6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1. Share of agreed health product procured and delivered (Monetary value):</w:t>
            </w:r>
          </w:p>
          <w:p w14:paraId="0826587B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1.1 2015</w:t>
            </w:r>
          </w:p>
          <w:p w14:paraId="421D0960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1.2 2016</w:t>
            </w:r>
          </w:p>
          <w:p w14:paraId="6EFD8588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1.3 2017</w:t>
            </w:r>
          </w:p>
          <w:p w14:paraId="0EF8B48F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lastRenderedPageBreak/>
              <w:t>1.4 2018</w:t>
            </w:r>
          </w:p>
          <w:p w14:paraId="7633990E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1.5 2019</w:t>
            </w:r>
          </w:p>
          <w:p w14:paraId="34839663" w14:textId="7C4DFB4C" w:rsidR="00B803A1" w:rsidRPr="00B803A1" w:rsidRDefault="00B803A1" w:rsidP="00B803A1">
            <w:pPr>
              <w:spacing w:before="60" w:after="0"/>
              <w:jc w:val="left"/>
            </w:pPr>
            <w:r w:rsidRPr="00B803A1">
              <w:t>2.</w:t>
            </w:r>
            <w:r w:rsidR="005924CA">
              <w:t xml:space="preserve"> </w:t>
            </w:r>
            <w:r w:rsidRPr="00B803A1">
              <w:t>Share of agreed total number of health products delivered.</w:t>
            </w:r>
          </w:p>
          <w:p w14:paraId="372D27CF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2.1 2015</w:t>
            </w:r>
          </w:p>
          <w:p w14:paraId="5A5D13DA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2.2 2016</w:t>
            </w:r>
          </w:p>
          <w:p w14:paraId="3FCF825D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2.3 2017</w:t>
            </w:r>
          </w:p>
          <w:p w14:paraId="16C90068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2.4 2018</w:t>
            </w:r>
          </w:p>
          <w:p w14:paraId="3821485C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2.5 2019</w:t>
            </w:r>
          </w:p>
          <w:p w14:paraId="6FE1BC33" w14:textId="204D0E82" w:rsidR="00B803A1" w:rsidRPr="00B803A1" w:rsidRDefault="00B803A1" w:rsidP="00B803A1">
            <w:pPr>
              <w:spacing w:before="60" w:after="0"/>
              <w:jc w:val="left"/>
            </w:pPr>
            <w:r w:rsidRPr="00B803A1">
              <w:t>3.</w:t>
            </w:r>
            <w:r w:rsidR="005924CA">
              <w:t xml:space="preserve"> </w:t>
            </w:r>
            <w:r w:rsidRPr="00B803A1">
              <w:t>Share of contracted health products (Monetary value)</w:t>
            </w:r>
          </w:p>
          <w:p w14:paraId="41FDD502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3.1 2015</w:t>
            </w:r>
          </w:p>
          <w:p w14:paraId="41E17788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3.2 2016</w:t>
            </w:r>
          </w:p>
          <w:p w14:paraId="01B37307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3.3 2017</w:t>
            </w:r>
          </w:p>
          <w:p w14:paraId="5C50861E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3.4 2018</w:t>
            </w:r>
          </w:p>
          <w:p w14:paraId="18361E0C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3.5 2019</w:t>
            </w:r>
          </w:p>
          <w:p w14:paraId="6F2B611D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 xml:space="preserve">4.Share of health products delivered within standard time guidelines </w:t>
            </w:r>
          </w:p>
          <w:p w14:paraId="6E397C8F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 xml:space="preserve">5. Number of delivered health products, that is not complied with Quality Assurance Policy </w:t>
            </w:r>
          </w:p>
          <w:p w14:paraId="2E6C70DD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 xml:space="preserve">6. Share of health products delivered made under long </w:t>
            </w:r>
            <w:r w:rsidRPr="00B803A1">
              <w:lastRenderedPageBreak/>
              <w:t>term agreements (Monetary value)</w:t>
            </w:r>
          </w:p>
          <w:p w14:paraId="11328BF4" w14:textId="77777777" w:rsidR="00B803A1" w:rsidRPr="00B803A1" w:rsidRDefault="00B803A1" w:rsidP="00B803A1">
            <w:pPr>
              <w:spacing w:before="60" w:after="0"/>
              <w:jc w:val="left"/>
            </w:pPr>
            <w:r w:rsidRPr="00B803A1">
              <w:t>7. Share of health products procured from manufacturers (Monetary value)</w:t>
            </w:r>
          </w:p>
          <w:p w14:paraId="1F943BDD" w14:textId="77777777" w:rsidR="000D4669" w:rsidRDefault="000D4669" w:rsidP="008B7FB1">
            <w:pPr>
              <w:spacing w:before="60" w:after="0"/>
              <w:jc w:val="left"/>
              <w:rPr>
                <w:b/>
                <w:u w:val="single"/>
              </w:rPr>
            </w:pPr>
          </w:p>
          <w:p w14:paraId="01A8BFAD" w14:textId="77777777" w:rsidR="00631F5B" w:rsidRPr="00456CCA" w:rsidRDefault="00631F5B" w:rsidP="00631F5B">
            <w:pPr>
              <w:spacing w:before="60"/>
              <w:rPr>
                <w:rFonts w:ascii="Times New Roman" w:hAnsi="Times New Roman"/>
                <w:sz w:val="28"/>
                <w:lang w:val="en-US" w:eastAsia="uk-UA"/>
              </w:rPr>
            </w:pPr>
            <w:r w:rsidRPr="00456CCA">
              <w:rPr>
                <w:b/>
                <w:bCs/>
                <w:sz w:val="24"/>
                <w:szCs w:val="22"/>
                <w:lang w:val="en-US" w:eastAsia="uk-UA"/>
              </w:rPr>
              <w:t>Baseline (2015):</w:t>
            </w:r>
            <w:r w:rsidRPr="00456CCA">
              <w:rPr>
                <w:sz w:val="24"/>
                <w:szCs w:val="22"/>
                <w:lang w:val="en-US" w:eastAsia="uk-UA"/>
              </w:rPr>
              <w:t xml:space="preserve"> </w:t>
            </w:r>
          </w:p>
          <w:p w14:paraId="41CE1349" w14:textId="22A5FC8A" w:rsidR="00631F5B" w:rsidRPr="00456CCA" w:rsidRDefault="00631F5B" w:rsidP="00631F5B">
            <w:pPr>
              <w:spacing w:before="60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1.</w:t>
            </w:r>
            <w:r w:rsidR="005924CA">
              <w:rPr>
                <w:bCs/>
                <w:szCs w:val="22"/>
                <w:lang w:val="en-US"/>
              </w:rPr>
              <w:t>0</w:t>
            </w:r>
            <w:r w:rsidRPr="00456CCA">
              <w:rPr>
                <w:bCs/>
                <w:szCs w:val="22"/>
                <w:lang w:val="en-US"/>
              </w:rPr>
              <w:t>%</w:t>
            </w:r>
          </w:p>
          <w:p w14:paraId="19C69D48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1.1. 0</w:t>
            </w:r>
          </w:p>
          <w:p w14:paraId="738C9637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1.2. 0</w:t>
            </w:r>
          </w:p>
          <w:p w14:paraId="736BAB9F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1.3. 0</w:t>
            </w:r>
          </w:p>
          <w:p w14:paraId="04A3E57B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1.4. 0</w:t>
            </w:r>
          </w:p>
          <w:p w14:paraId="1EA756C2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1.5. 0</w:t>
            </w:r>
          </w:p>
          <w:p w14:paraId="14B8175D" w14:textId="2EB003D8" w:rsidR="00631F5B" w:rsidRPr="00456CCA" w:rsidRDefault="00631F5B" w:rsidP="00631F5B">
            <w:pPr>
              <w:spacing w:before="60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 xml:space="preserve">2. </w:t>
            </w:r>
            <w:r w:rsidR="005924CA">
              <w:rPr>
                <w:bCs/>
                <w:szCs w:val="22"/>
                <w:lang w:val="en-US"/>
              </w:rPr>
              <w:t>0</w:t>
            </w:r>
            <w:r w:rsidRPr="00456CCA">
              <w:rPr>
                <w:bCs/>
                <w:szCs w:val="22"/>
                <w:lang w:val="en-US"/>
              </w:rPr>
              <w:t>%</w:t>
            </w:r>
          </w:p>
          <w:p w14:paraId="7564F7D0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2.1. 0</w:t>
            </w:r>
          </w:p>
          <w:p w14:paraId="3D83ED22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2.2. 0</w:t>
            </w:r>
          </w:p>
          <w:p w14:paraId="092D13E3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2.3. 0</w:t>
            </w:r>
          </w:p>
          <w:p w14:paraId="21609979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2.4. 0</w:t>
            </w:r>
          </w:p>
          <w:p w14:paraId="11EC7EAB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2.5. 0</w:t>
            </w:r>
          </w:p>
          <w:p w14:paraId="38C41314" w14:textId="1785DA76" w:rsidR="00631F5B" w:rsidRPr="00456CCA" w:rsidRDefault="00631F5B" w:rsidP="00631F5B">
            <w:pPr>
              <w:spacing w:before="60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 xml:space="preserve">3. </w:t>
            </w:r>
            <w:r w:rsidR="005924CA">
              <w:rPr>
                <w:bCs/>
                <w:szCs w:val="22"/>
                <w:lang w:val="en-US"/>
              </w:rPr>
              <w:t>0%</w:t>
            </w:r>
          </w:p>
          <w:p w14:paraId="551CBF81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3.1. 0</w:t>
            </w:r>
          </w:p>
          <w:p w14:paraId="4AEB9E84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3.2. 0</w:t>
            </w:r>
          </w:p>
          <w:p w14:paraId="4C2D01F3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3.3. 0</w:t>
            </w:r>
          </w:p>
          <w:p w14:paraId="75B09281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3.4. 0</w:t>
            </w:r>
          </w:p>
          <w:p w14:paraId="11F146CB" w14:textId="77777777" w:rsidR="00631F5B" w:rsidRPr="00456CCA" w:rsidRDefault="00631F5B" w:rsidP="00631F5B">
            <w:pPr>
              <w:spacing w:before="60"/>
              <w:ind w:firstLine="184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3.5. 0</w:t>
            </w:r>
          </w:p>
          <w:p w14:paraId="70358AD2" w14:textId="77777777" w:rsidR="00631F5B" w:rsidRPr="00456CCA" w:rsidRDefault="00631F5B" w:rsidP="00631F5B">
            <w:pPr>
              <w:spacing w:before="60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4. 0</w:t>
            </w:r>
          </w:p>
          <w:p w14:paraId="511B9984" w14:textId="77777777" w:rsidR="00631F5B" w:rsidRPr="00456CCA" w:rsidRDefault="00631F5B" w:rsidP="00631F5B">
            <w:pPr>
              <w:spacing w:before="60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5. 0</w:t>
            </w:r>
          </w:p>
          <w:p w14:paraId="2ADD4747" w14:textId="77777777" w:rsidR="00631F5B" w:rsidRPr="00456CCA" w:rsidRDefault="00631F5B" w:rsidP="00631F5B">
            <w:pPr>
              <w:spacing w:before="60"/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6. 0</w:t>
            </w:r>
          </w:p>
          <w:p w14:paraId="06043EF8" w14:textId="77777777" w:rsidR="00631F5B" w:rsidRPr="00456CCA" w:rsidRDefault="00631F5B" w:rsidP="00631F5B">
            <w:pPr>
              <w:rPr>
                <w:bCs/>
                <w:szCs w:val="22"/>
                <w:lang w:val="en-US"/>
              </w:rPr>
            </w:pPr>
            <w:r w:rsidRPr="00456CCA">
              <w:rPr>
                <w:bCs/>
                <w:szCs w:val="22"/>
                <w:lang w:val="en-US"/>
              </w:rPr>
              <w:t>7. 0</w:t>
            </w:r>
          </w:p>
          <w:p w14:paraId="0233D22D" w14:textId="77777777" w:rsidR="00631F5B" w:rsidRPr="00456CCA" w:rsidRDefault="00631F5B" w:rsidP="008B7FB1">
            <w:pPr>
              <w:spacing w:before="60" w:after="0"/>
              <w:jc w:val="left"/>
              <w:rPr>
                <w:b/>
                <w:sz w:val="24"/>
                <w:u w:val="single"/>
              </w:rPr>
            </w:pPr>
          </w:p>
          <w:p w14:paraId="0140425D" w14:textId="77777777" w:rsidR="00631F5B" w:rsidRPr="00456CCA" w:rsidRDefault="00631F5B" w:rsidP="008B7FB1">
            <w:pPr>
              <w:spacing w:before="60" w:after="0"/>
              <w:jc w:val="left"/>
              <w:rPr>
                <w:b/>
                <w:sz w:val="24"/>
                <w:u w:val="single"/>
              </w:rPr>
            </w:pPr>
          </w:p>
          <w:p w14:paraId="4DD9AA8F" w14:textId="77777777" w:rsidR="00456CCA" w:rsidRPr="00456CCA" w:rsidRDefault="00456CCA" w:rsidP="00456CCA">
            <w:pPr>
              <w:rPr>
                <w:b/>
                <w:sz w:val="24"/>
                <w:szCs w:val="22"/>
              </w:rPr>
            </w:pPr>
            <w:r w:rsidRPr="00456CCA">
              <w:rPr>
                <w:b/>
                <w:sz w:val="24"/>
                <w:szCs w:val="22"/>
              </w:rPr>
              <w:t>Targets (2019)</w:t>
            </w:r>
          </w:p>
          <w:p w14:paraId="32711F5E" w14:textId="6C7883BB" w:rsidR="00456CCA" w:rsidRPr="00456CCA" w:rsidRDefault="00456CCA" w:rsidP="00456CCA">
            <w:pPr>
              <w:spacing w:before="60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1. 7</w:t>
            </w:r>
            <w:r w:rsidR="005924CA">
              <w:rPr>
                <w:bCs/>
                <w:sz w:val="20"/>
                <w:szCs w:val="22"/>
              </w:rPr>
              <w:t>0</w:t>
            </w:r>
            <w:r w:rsidRPr="00456CCA">
              <w:rPr>
                <w:bCs/>
                <w:sz w:val="20"/>
                <w:szCs w:val="22"/>
              </w:rPr>
              <w:t>%</w:t>
            </w:r>
          </w:p>
          <w:p w14:paraId="38CD36CF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1.1. 100%</w:t>
            </w:r>
          </w:p>
          <w:p w14:paraId="33BC7EFD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1.2. 100%</w:t>
            </w:r>
          </w:p>
          <w:p w14:paraId="616076F1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1.3. 100%</w:t>
            </w:r>
          </w:p>
          <w:p w14:paraId="4CBFDCE2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1.4. 75%</w:t>
            </w:r>
          </w:p>
          <w:p w14:paraId="7789A210" w14:textId="4AE61F6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 xml:space="preserve">1.5. </w:t>
            </w:r>
            <w:r w:rsidR="005924CA">
              <w:rPr>
                <w:bCs/>
                <w:sz w:val="20"/>
                <w:szCs w:val="22"/>
              </w:rPr>
              <w:t>2</w:t>
            </w:r>
            <w:r w:rsidRPr="00456CCA">
              <w:rPr>
                <w:bCs/>
                <w:sz w:val="20"/>
                <w:szCs w:val="22"/>
              </w:rPr>
              <w:t>0%</w:t>
            </w:r>
          </w:p>
          <w:p w14:paraId="761B4974" w14:textId="6E89AC99" w:rsidR="00456CCA" w:rsidRPr="00456CCA" w:rsidRDefault="00456CCA" w:rsidP="00456CCA">
            <w:pPr>
              <w:spacing w:before="60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2. 7</w:t>
            </w:r>
            <w:r w:rsidR="005924CA">
              <w:rPr>
                <w:bCs/>
                <w:sz w:val="20"/>
                <w:szCs w:val="22"/>
              </w:rPr>
              <w:t>0</w:t>
            </w:r>
            <w:r w:rsidRPr="00456CCA">
              <w:rPr>
                <w:bCs/>
                <w:sz w:val="20"/>
                <w:szCs w:val="22"/>
              </w:rPr>
              <w:t>%</w:t>
            </w:r>
          </w:p>
          <w:p w14:paraId="0FDDDAE8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2.1. 100%</w:t>
            </w:r>
          </w:p>
          <w:p w14:paraId="4D23C22F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2.2. 100%</w:t>
            </w:r>
          </w:p>
          <w:p w14:paraId="6FDD5EFC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2.3. 100%</w:t>
            </w:r>
          </w:p>
          <w:p w14:paraId="1A91E88E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2.4. 75%</w:t>
            </w:r>
          </w:p>
          <w:p w14:paraId="6A933E90" w14:textId="7E4B548C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 xml:space="preserve">2.5. </w:t>
            </w:r>
            <w:r w:rsidR="005924CA">
              <w:rPr>
                <w:bCs/>
                <w:sz w:val="20"/>
                <w:szCs w:val="22"/>
              </w:rPr>
              <w:t>2</w:t>
            </w:r>
            <w:r w:rsidRPr="00456CCA">
              <w:rPr>
                <w:bCs/>
                <w:sz w:val="20"/>
                <w:szCs w:val="22"/>
              </w:rPr>
              <w:t>0%</w:t>
            </w:r>
          </w:p>
          <w:p w14:paraId="2DD4163F" w14:textId="0EDEB151" w:rsidR="00456CCA" w:rsidRPr="00456CCA" w:rsidRDefault="00456CCA" w:rsidP="00456CCA">
            <w:pPr>
              <w:spacing w:before="60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 xml:space="preserve">3. </w:t>
            </w:r>
            <w:r w:rsidR="00B803A1">
              <w:rPr>
                <w:bCs/>
                <w:sz w:val="20"/>
                <w:szCs w:val="22"/>
              </w:rPr>
              <w:t>8</w:t>
            </w:r>
            <w:r w:rsidR="005924CA">
              <w:rPr>
                <w:bCs/>
                <w:sz w:val="20"/>
                <w:szCs w:val="22"/>
              </w:rPr>
              <w:t>0</w:t>
            </w:r>
            <w:r w:rsidR="00B803A1">
              <w:rPr>
                <w:bCs/>
                <w:sz w:val="20"/>
                <w:szCs w:val="22"/>
              </w:rPr>
              <w:t>%</w:t>
            </w:r>
          </w:p>
          <w:p w14:paraId="3C6632FF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3.1. 100%</w:t>
            </w:r>
          </w:p>
          <w:p w14:paraId="37BF3EBF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3.2. 100%</w:t>
            </w:r>
          </w:p>
          <w:p w14:paraId="3ED7049F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3.3. 100%</w:t>
            </w:r>
          </w:p>
          <w:p w14:paraId="59D91C6E" w14:textId="77777777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3.4. 90%</w:t>
            </w:r>
          </w:p>
          <w:p w14:paraId="79248B8A" w14:textId="72C9E674" w:rsidR="00456CCA" w:rsidRPr="00456CCA" w:rsidRDefault="00456CCA" w:rsidP="00456CCA">
            <w:pPr>
              <w:spacing w:before="60"/>
              <w:ind w:firstLine="184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 xml:space="preserve">3.5. </w:t>
            </w:r>
            <w:r w:rsidR="005924CA">
              <w:rPr>
                <w:bCs/>
                <w:sz w:val="20"/>
                <w:szCs w:val="22"/>
              </w:rPr>
              <w:t>4</w:t>
            </w:r>
            <w:bookmarkStart w:id="0" w:name="_GoBack"/>
            <w:bookmarkEnd w:id="0"/>
            <w:r w:rsidRPr="00456CCA">
              <w:rPr>
                <w:bCs/>
                <w:sz w:val="20"/>
                <w:szCs w:val="22"/>
              </w:rPr>
              <w:t>0%</w:t>
            </w:r>
          </w:p>
          <w:p w14:paraId="0A0A1656" w14:textId="77777777" w:rsidR="00456CCA" w:rsidRPr="00456CCA" w:rsidRDefault="00456CCA" w:rsidP="00456CCA">
            <w:pPr>
              <w:spacing w:before="60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4. 95%</w:t>
            </w:r>
          </w:p>
          <w:p w14:paraId="4007959E" w14:textId="77777777" w:rsidR="00456CCA" w:rsidRPr="00456CCA" w:rsidRDefault="00456CCA" w:rsidP="00456CCA">
            <w:pPr>
              <w:spacing w:before="60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5. 0</w:t>
            </w:r>
          </w:p>
          <w:p w14:paraId="7E03A6F6" w14:textId="77777777" w:rsidR="00456CCA" w:rsidRPr="00456CCA" w:rsidRDefault="00456CCA" w:rsidP="00456CCA">
            <w:pPr>
              <w:spacing w:before="60"/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6. 15%</w:t>
            </w:r>
          </w:p>
          <w:p w14:paraId="6D292007" w14:textId="77777777" w:rsidR="00456CCA" w:rsidRPr="00456CCA" w:rsidRDefault="00456CCA" w:rsidP="00456CCA">
            <w:pPr>
              <w:rPr>
                <w:bCs/>
                <w:sz w:val="20"/>
                <w:szCs w:val="22"/>
              </w:rPr>
            </w:pPr>
            <w:r w:rsidRPr="00456CCA">
              <w:rPr>
                <w:bCs/>
                <w:sz w:val="20"/>
                <w:szCs w:val="22"/>
              </w:rPr>
              <w:t>7. 65%</w:t>
            </w:r>
          </w:p>
          <w:p w14:paraId="3E636A2E" w14:textId="1912CC9C" w:rsidR="00631F5B" w:rsidRDefault="00631F5B" w:rsidP="008B7FB1">
            <w:pPr>
              <w:spacing w:before="60" w:after="0"/>
              <w:jc w:val="left"/>
              <w:rPr>
                <w:b/>
                <w:u w:val="single"/>
              </w:rPr>
            </w:pPr>
          </w:p>
        </w:tc>
        <w:tc>
          <w:tcPr>
            <w:tcW w:w="4056" w:type="dxa"/>
            <w:shd w:val="clear" w:color="auto" w:fill="auto"/>
          </w:tcPr>
          <w:p w14:paraId="06ED46EC" w14:textId="64C6E907" w:rsidR="00930031" w:rsidRDefault="00930031" w:rsidP="00930031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Activity 1. Procurement of medicines and medical products for the National Public Health Programs as per Annex 2 of the Cost-sharing agreement </w:t>
            </w:r>
          </w:p>
          <w:p w14:paraId="57C687E7" w14:textId="77B2440D" w:rsidR="00930031" w:rsidRDefault="00930031" w:rsidP="00930031">
            <w:pPr>
              <w:jc w:val="left"/>
            </w:pPr>
            <w:r>
              <w:t>Sub-activity 1.1.</w:t>
            </w:r>
            <w:r w:rsidR="009C5139">
              <w:rPr>
                <w:lang w:val="uk-UA"/>
              </w:rPr>
              <w:t xml:space="preserve"> </w:t>
            </w:r>
            <w:r>
              <w:t>Procurement for emergency medical care (bleeding) (201</w:t>
            </w:r>
            <w:r w:rsidR="00594DC0">
              <w:t>8</w:t>
            </w:r>
            <w:r>
              <w:t>)</w:t>
            </w:r>
          </w:p>
          <w:p w14:paraId="1671D30D" w14:textId="27BA48EE" w:rsidR="009C5139" w:rsidRDefault="009C5139" w:rsidP="00930031">
            <w:pPr>
              <w:jc w:val="left"/>
            </w:pPr>
          </w:p>
          <w:p w14:paraId="1C793D27" w14:textId="52845648" w:rsidR="009C5139" w:rsidRDefault="009C5139" w:rsidP="009C5139">
            <w:pPr>
              <w:jc w:val="left"/>
            </w:pPr>
            <w:r>
              <w:t>Sub-activity 1.</w:t>
            </w:r>
            <w:r w:rsidR="00E95891">
              <w:t>2</w:t>
            </w:r>
            <w:r>
              <w:t>.</w:t>
            </w:r>
            <w:r>
              <w:rPr>
                <w:lang w:val="uk-UA"/>
              </w:rPr>
              <w:t xml:space="preserve"> </w:t>
            </w:r>
            <w:r>
              <w:t>Procurement for emergency medical care (bleeding)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00863F41" w14:textId="77777777" w:rsidR="00930031" w:rsidRDefault="00930031" w:rsidP="00930031">
            <w:pPr>
              <w:jc w:val="left"/>
            </w:pPr>
          </w:p>
          <w:p w14:paraId="39355A75" w14:textId="3C0511D3" w:rsidR="00930031" w:rsidRDefault="00930031" w:rsidP="00930031">
            <w:pPr>
              <w:jc w:val="left"/>
            </w:pPr>
            <w:r>
              <w:t>Sub-activity 1.3.  Procurement of medicines and medical products for pre- and post-transplant period (2017)</w:t>
            </w:r>
          </w:p>
          <w:p w14:paraId="29898F2A" w14:textId="1D460AFD" w:rsidR="00507134" w:rsidRDefault="00507134" w:rsidP="00930031">
            <w:pPr>
              <w:jc w:val="left"/>
            </w:pPr>
          </w:p>
          <w:p w14:paraId="272C8AA3" w14:textId="77152D8A" w:rsidR="00507134" w:rsidRDefault="00507134" w:rsidP="00507134">
            <w:pPr>
              <w:jc w:val="left"/>
            </w:pPr>
            <w:r>
              <w:t>Sub-activity 1.</w:t>
            </w:r>
            <w:r w:rsidR="00E95891">
              <w:t>4</w:t>
            </w:r>
            <w:r>
              <w:t>.  Procurement of medicines and medical products for pre- and post-transplant period (2018)</w:t>
            </w:r>
          </w:p>
          <w:p w14:paraId="7650AA12" w14:textId="0F997951" w:rsidR="009C5139" w:rsidRDefault="009C5139" w:rsidP="00930031">
            <w:pPr>
              <w:jc w:val="left"/>
            </w:pPr>
          </w:p>
          <w:p w14:paraId="770AB762" w14:textId="544D6D1E" w:rsidR="009C5139" w:rsidRDefault="009C5139" w:rsidP="009C5139">
            <w:pPr>
              <w:jc w:val="left"/>
            </w:pPr>
            <w:r>
              <w:t>Sub-activity 1.</w:t>
            </w:r>
            <w:r w:rsidR="00E95891">
              <w:t>5</w:t>
            </w:r>
            <w:r>
              <w:t>.  Procurement of medicines and medical products for pre- and post-transplant period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7EB3981B" w14:textId="0DDE0A6C" w:rsidR="00930031" w:rsidRDefault="00930031" w:rsidP="00930031">
            <w:pPr>
              <w:jc w:val="left"/>
            </w:pPr>
            <w:r>
              <w:lastRenderedPageBreak/>
              <w:t>Sub-activity 1.</w:t>
            </w:r>
            <w:r w:rsidR="00E95891">
              <w:t>6</w:t>
            </w:r>
            <w:r>
              <w:t xml:space="preserve">. Procurement of </w:t>
            </w:r>
          </w:p>
          <w:p w14:paraId="413929B0" w14:textId="77777777" w:rsidR="00507134" w:rsidRDefault="00930031" w:rsidP="00930031">
            <w:pPr>
              <w:jc w:val="left"/>
            </w:pPr>
            <w:r>
              <w:t>chemotherapeutic agents, radiopharmaceuticals and support drugs for cancer (2017)</w:t>
            </w:r>
          </w:p>
          <w:p w14:paraId="48D04371" w14:textId="77777777" w:rsidR="00507134" w:rsidRDefault="00507134" w:rsidP="00930031">
            <w:pPr>
              <w:jc w:val="left"/>
            </w:pPr>
          </w:p>
          <w:p w14:paraId="78B825A8" w14:textId="1A428C35" w:rsidR="00507134" w:rsidRDefault="00507134" w:rsidP="00507134">
            <w:pPr>
              <w:jc w:val="left"/>
            </w:pPr>
            <w:r>
              <w:t>Sub-activity 1.</w:t>
            </w:r>
            <w:r w:rsidR="00E95891">
              <w:t>7</w:t>
            </w:r>
            <w:r>
              <w:t xml:space="preserve">. Procurement of </w:t>
            </w:r>
          </w:p>
          <w:p w14:paraId="4B89958B" w14:textId="7DD2D240" w:rsidR="00507134" w:rsidRDefault="00507134" w:rsidP="00507134">
            <w:pPr>
              <w:jc w:val="left"/>
            </w:pPr>
            <w:r>
              <w:t xml:space="preserve">chemotherapeutic agents, radiopharmaceuticals and support drugs for cancer (2018) </w:t>
            </w:r>
          </w:p>
          <w:p w14:paraId="1BD8D7CA" w14:textId="68DB21A5" w:rsidR="009C5139" w:rsidRDefault="009C5139" w:rsidP="00507134">
            <w:pPr>
              <w:jc w:val="left"/>
            </w:pPr>
          </w:p>
          <w:p w14:paraId="4740AC7D" w14:textId="155E55B3" w:rsidR="009C5139" w:rsidRDefault="009C5139" w:rsidP="009C5139">
            <w:pPr>
              <w:jc w:val="left"/>
            </w:pPr>
            <w:r>
              <w:t>Sub-activity 1.</w:t>
            </w:r>
            <w:r w:rsidR="00E95891">
              <w:t>8</w:t>
            </w:r>
            <w:r>
              <w:t xml:space="preserve">. Procurement of </w:t>
            </w:r>
          </w:p>
          <w:p w14:paraId="39A698CC" w14:textId="37CAFE76" w:rsidR="009C5139" w:rsidRDefault="009C5139" w:rsidP="009C5139">
            <w:pPr>
              <w:jc w:val="left"/>
            </w:pPr>
            <w:r>
              <w:t>chemotherapeutic agents, radiopharmaceuticals and support drugs for cancer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57BF3941" w14:textId="380C9C24" w:rsidR="00930031" w:rsidRDefault="00930031" w:rsidP="00930031">
            <w:pPr>
              <w:jc w:val="left"/>
            </w:pPr>
            <w:r>
              <w:t xml:space="preserve"> </w:t>
            </w:r>
          </w:p>
          <w:p w14:paraId="5E04525F" w14:textId="5B7E8663" w:rsidR="00930031" w:rsidRPr="000344A5" w:rsidRDefault="00930031" w:rsidP="00930031">
            <w:pPr>
              <w:jc w:val="left"/>
            </w:pPr>
            <w:r w:rsidRPr="00550C3A">
              <w:t>Sub-activity 1.</w:t>
            </w:r>
            <w:r w:rsidR="00E95891">
              <w:t>9</w:t>
            </w:r>
            <w:r w:rsidRPr="00550C3A">
              <w:t>. Procurement of reagents for neonatal screening for phenylketonuria and congenital hypothyroidism (201</w:t>
            </w:r>
            <w:r w:rsidR="00507134" w:rsidRPr="00550C3A">
              <w:t>8</w:t>
            </w:r>
            <w:r w:rsidRPr="00550C3A">
              <w:t>)</w:t>
            </w:r>
          </w:p>
          <w:p w14:paraId="5FE80CC5" w14:textId="77777777" w:rsidR="00550C3A" w:rsidRDefault="00550C3A" w:rsidP="00550C3A">
            <w:pPr>
              <w:jc w:val="left"/>
            </w:pPr>
          </w:p>
          <w:p w14:paraId="650CE776" w14:textId="5E3E4B97" w:rsidR="00550C3A" w:rsidRPr="000A129F" w:rsidRDefault="00550C3A" w:rsidP="00550C3A">
            <w:pPr>
              <w:jc w:val="left"/>
            </w:pPr>
            <w:r w:rsidRPr="000A129F">
              <w:t>Sub-activity 1.</w:t>
            </w:r>
            <w:r w:rsidR="00E95891">
              <w:t>10</w:t>
            </w:r>
            <w:r w:rsidRPr="000A129F">
              <w:t>. Procurement of reagents for neonatal screening for phenylketonuria and congenital hypothyroidism (201</w:t>
            </w:r>
            <w:r>
              <w:rPr>
                <w:lang w:val="uk-UA"/>
              </w:rPr>
              <w:t>9</w:t>
            </w:r>
            <w:r w:rsidRPr="000A129F">
              <w:t>)</w:t>
            </w:r>
          </w:p>
          <w:p w14:paraId="66D8E598" w14:textId="77777777" w:rsidR="00930031" w:rsidRDefault="00930031" w:rsidP="00930031">
            <w:pPr>
              <w:jc w:val="left"/>
            </w:pPr>
          </w:p>
          <w:p w14:paraId="29ECE551" w14:textId="4A2BB17D" w:rsidR="00930031" w:rsidRDefault="00930031" w:rsidP="00930031">
            <w:pPr>
              <w:jc w:val="left"/>
            </w:pPr>
            <w:r>
              <w:t>Sub-activity 1.</w:t>
            </w:r>
            <w:r w:rsidR="00E95891">
              <w:t>11</w:t>
            </w:r>
            <w:r>
              <w:t>. Procurement of   cystic fibrosis (</w:t>
            </w:r>
            <w:proofErr w:type="spellStart"/>
            <w:r>
              <w:t>Mucoviscidosis</w:t>
            </w:r>
            <w:proofErr w:type="spellEnd"/>
            <w:r>
              <w:t>) children (201</w:t>
            </w:r>
            <w:r w:rsidR="00507134">
              <w:t>8</w:t>
            </w:r>
            <w:r>
              <w:t>)</w:t>
            </w:r>
          </w:p>
          <w:p w14:paraId="002619E3" w14:textId="5C82277D" w:rsidR="00930031" w:rsidRDefault="00930031" w:rsidP="00930031">
            <w:pPr>
              <w:jc w:val="left"/>
            </w:pPr>
          </w:p>
          <w:p w14:paraId="0831C2E0" w14:textId="43744E2F" w:rsidR="009C5139" w:rsidRDefault="009C5139" w:rsidP="00930031">
            <w:pPr>
              <w:jc w:val="left"/>
            </w:pPr>
            <w:r>
              <w:t>Sub-activity 1.</w:t>
            </w:r>
            <w:r w:rsidR="00E95891">
              <w:t>12</w:t>
            </w:r>
            <w:r>
              <w:t>. Procurement of   cystic fibrosis (</w:t>
            </w:r>
            <w:proofErr w:type="spellStart"/>
            <w:r>
              <w:t>Mucoviscidosis</w:t>
            </w:r>
            <w:proofErr w:type="spellEnd"/>
            <w:r>
              <w:t>) children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776486B4" w14:textId="6406CBEE" w:rsidR="00550C3A" w:rsidRDefault="00550C3A" w:rsidP="00550C3A">
            <w:pPr>
              <w:jc w:val="left"/>
            </w:pPr>
            <w:r>
              <w:lastRenderedPageBreak/>
              <w:t>Sub-activity 1.</w:t>
            </w:r>
            <w:r w:rsidR="00E95891">
              <w:t>13</w:t>
            </w:r>
            <w:r>
              <w:t xml:space="preserve">. Procurement of   cystic fibrosis </w:t>
            </w:r>
            <w:r>
              <w:rPr>
                <w:lang w:val="en-US"/>
              </w:rPr>
              <w:t>adult</w:t>
            </w:r>
            <w:r>
              <w:t xml:space="preserve"> (201</w:t>
            </w:r>
            <w:r>
              <w:rPr>
                <w:lang w:val="uk-UA"/>
              </w:rPr>
              <w:t>7</w:t>
            </w:r>
            <w:r>
              <w:t>)</w:t>
            </w:r>
          </w:p>
          <w:p w14:paraId="7A500C3F" w14:textId="77777777" w:rsidR="00550C3A" w:rsidRDefault="00550C3A" w:rsidP="00550C3A">
            <w:pPr>
              <w:jc w:val="left"/>
            </w:pPr>
          </w:p>
          <w:p w14:paraId="2566CDF0" w14:textId="44951CDD" w:rsidR="00550C3A" w:rsidRDefault="00550C3A" w:rsidP="00550C3A">
            <w:pPr>
              <w:jc w:val="left"/>
            </w:pPr>
            <w:r>
              <w:t>Sub-activity 1.</w:t>
            </w:r>
            <w:r w:rsidR="00E95891">
              <w:t>14</w:t>
            </w:r>
            <w:r>
              <w:t xml:space="preserve">. Procurement of   cystic fibrosis </w:t>
            </w:r>
            <w:r>
              <w:rPr>
                <w:lang w:val="en-US"/>
              </w:rPr>
              <w:t>adult</w:t>
            </w:r>
            <w:r>
              <w:t xml:space="preserve"> (201</w:t>
            </w:r>
            <w:r>
              <w:rPr>
                <w:lang w:val="en-US"/>
              </w:rPr>
              <w:t>8</w:t>
            </w:r>
            <w:r>
              <w:t>)</w:t>
            </w:r>
          </w:p>
          <w:p w14:paraId="5C0644DC" w14:textId="77777777" w:rsidR="00550C3A" w:rsidRDefault="00550C3A" w:rsidP="00550C3A">
            <w:pPr>
              <w:jc w:val="left"/>
            </w:pPr>
          </w:p>
          <w:p w14:paraId="3020DA54" w14:textId="67AF2979" w:rsidR="00550C3A" w:rsidRDefault="00550C3A" w:rsidP="00930031">
            <w:pPr>
              <w:jc w:val="left"/>
            </w:pPr>
            <w:r>
              <w:t>Sub-activity 1.</w:t>
            </w:r>
            <w:r w:rsidR="00E95891">
              <w:t>15</w:t>
            </w:r>
            <w:r>
              <w:t xml:space="preserve">. Procurement of   cystic fibrosis </w:t>
            </w:r>
            <w:r>
              <w:rPr>
                <w:lang w:val="en-US"/>
              </w:rPr>
              <w:t>adult</w:t>
            </w:r>
            <w:r>
              <w:t xml:space="preserve"> (201</w:t>
            </w:r>
            <w:r>
              <w:rPr>
                <w:lang w:val="en-US"/>
              </w:rPr>
              <w:t>9</w:t>
            </w:r>
            <w:r>
              <w:t>)</w:t>
            </w:r>
          </w:p>
          <w:p w14:paraId="51E29201" w14:textId="77777777" w:rsidR="00930031" w:rsidRDefault="00930031" w:rsidP="00930031">
            <w:pPr>
              <w:jc w:val="left"/>
            </w:pPr>
          </w:p>
          <w:p w14:paraId="7C081A29" w14:textId="7A1C48E9" w:rsidR="00930031" w:rsidRDefault="00930031" w:rsidP="00930031">
            <w:pPr>
              <w:jc w:val="left"/>
            </w:pPr>
            <w:r>
              <w:t>Sub-activity 1.1</w:t>
            </w:r>
            <w:r w:rsidR="00E95891">
              <w:t>6</w:t>
            </w:r>
            <w:r>
              <w:t>. Procurement of cerebral palsy children (201</w:t>
            </w:r>
            <w:r w:rsidR="00507134">
              <w:t>8</w:t>
            </w:r>
            <w:r>
              <w:t>)</w:t>
            </w:r>
          </w:p>
          <w:p w14:paraId="7A7E1798" w14:textId="525C2890" w:rsidR="009C5139" w:rsidRDefault="009C5139" w:rsidP="00930031">
            <w:pPr>
              <w:jc w:val="left"/>
            </w:pPr>
          </w:p>
          <w:p w14:paraId="348D1061" w14:textId="0F1F016F" w:rsidR="009C5139" w:rsidRDefault="009C5139" w:rsidP="00930031">
            <w:pPr>
              <w:jc w:val="left"/>
            </w:pPr>
            <w:r>
              <w:t>Sub-activity 1.1</w:t>
            </w:r>
            <w:r w:rsidR="00E95891">
              <w:t>7</w:t>
            </w:r>
            <w:r>
              <w:t>. Procurement of cerebral palsy children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5DE08304" w14:textId="77777777" w:rsidR="00930031" w:rsidRDefault="00930031" w:rsidP="00930031">
            <w:pPr>
              <w:jc w:val="left"/>
            </w:pPr>
          </w:p>
          <w:p w14:paraId="5B456681" w14:textId="49C62CE9" w:rsidR="00F909F9" w:rsidRPr="00686DDD" w:rsidRDefault="00F909F9" w:rsidP="00F909F9">
            <w:pPr>
              <w:jc w:val="left"/>
            </w:pPr>
            <w:r w:rsidRPr="000344A5">
              <w:t>Sub-activity 1.1</w:t>
            </w:r>
            <w:r w:rsidR="00E95891">
              <w:t>8</w:t>
            </w:r>
            <w:r w:rsidRPr="000344A5">
              <w:t xml:space="preserve">. Procurement of mental and </w:t>
            </w:r>
            <w:proofErr w:type="spellStart"/>
            <w:r w:rsidRPr="000344A5">
              <w:t>behavioral</w:t>
            </w:r>
            <w:proofErr w:type="spellEnd"/>
            <w:r w:rsidRPr="000344A5">
              <w:t xml:space="preserve"> disorders of autism spectrum children (2017)</w:t>
            </w:r>
          </w:p>
          <w:p w14:paraId="71B8D80D" w14:textId="2875E35F" w:rsidR="00F909F9" w:rsidRPr="00686DDD" w:rsidRDefault="00F909F9" w:rsidP="00930031">
            <w:pPr>
              <w:jc w:val="left"/>
            </w:pPr>
          </w:p>
          <w:p w14:paraId="2380E5B0" w14:textId="52B5D52A" w:rsidR="00DF00C4" w:rsidRDefault="00DF00C4" w:rsidP="00DF00C4">
            <w:pPr>
              <w:jc w:val="left"/>
            </w:pPr>
            <w:r w:rsidRPr="000344A5">
              <w:t>Sub-activity 1.1</w:t>
            </w:r>
            <w:r w:rsidR="00E95891">
              <w:t>9</w:t>
            </w:r>
            <w:r w:rsidRPr="000344A5">
              <w:t xml:space="preserve">. Procurement of mental and </w:t>
            </w:r>
            <w:proofErr w:type="spellStart"/>
            <w:r w:rsidRPr="000344A5">
              <w:t>behavioral</w:t>
            </w:r>
            <w:proofErr w:type="spellEnd"/>
            <w:r w:rsidRPr="000344A5">
              <w:t xml:space="preserve"> disorders of autism spectrum children (2018)</w:t>
            </w:r>
          </w:p>
          <w:p w14:paraId="38147ECA" w14:textId="0550D7F7" w:rsidR="00DB482D" w:rsidRDefault="00DB482D" w:rsidP="00DF00C4">
            <w:pPr>
              <w:jc w:val="left"/>
            </w:pPr>
          </w:p>
          <w:p w14:paraId="1F6B64FC" w14:textId="3B0228DD" w:rsidR="00DB482D" w:rsidRDefault="00DB482D" w:rsidP="00DB482D">
            <w:pPr>
              <w:jc w:val="left"/>
            </w:pPr>
            <w:r w:rsidRPr="000A129F">
              <w:t>Sub-activity 1.</w:t>
            </w:r>
            <w:r w:rsidR="00E95891">
              <w:t>20</w:t>
            </w:r>
            <w:r w:rsidRPr="000A129F">
              <w:t xml:space="preserve">. Procurement of mental and </w:t>
            </w:r>
            <w:proofErr w:type="spellStart"/>
            <w:r w:rsidRPr="000A129F">
              <w:t>behavioral</w:t>
            </w:r>
            <w:proofErr w:type="spellEnd"/>
            <w:r w:rsidRPr="000A129F">
              <w:t xml:space="preserve"> disorders of autism spectrum children (201</w:t>
            </w:r>
            <w:r>
              <w:rPr>
                <w:lang w:val="uk-UA"/>
              </w:rPr>
              <w:t>9</w:t>
            </w:r>
            <w:r w:rsidRPr="000A129F">
              <w:t>)</w:t>
            </w:r>
          </w:p>
          <w:p w14:paraId="7CCEFF97" w14:textId="77777777" w:rsidR="00930031" w:rsidRDefault="00930031" w:rsidP="00930031">
            <w:pPr>
              <w:jc w:val="left"/>
            </w:pPr>
          </w:p>
          <w:p w14:paraId="2C303346" w14:textId="6212640E" w:rsidR="00930031" w:rsidRDefault="00930031" w:rsidP="00930031">
            <w:pPr>
              <w:jc w:val="left"/>
            </w:pPr>
            <w:r>
              <w:t>Sub-activity 1.</w:t>
            </w:r>
            <w:r w:rsidR="00E95891">
              <w:t>21</w:t>
            </w:r>
            <w:r>
              <w:t>. Procurement of resistant juvenile rheumatoid arthritis children (201</w:t>
            </w:r>
            <w:r w:rsidR="00594DC0">
              <w:t>8</w:t>
            </w:r>
            <w:r>
              <w:t>)</w:t>
            </w:r>
          </w:p>
          <w:p w14:paraId="0634681A" w14:textId="238A65F1" w:rsidR="00DB482D" w:rsidRDefault="00DB482D" w:rsidP="00930031">
            <w:pPr>
              <w:jc w:val="left"/>
            </w:pPr>
          </w:p>
          <w:p w14:paraId="2F8A98D9" w14:textId="08F2E3EF" w:rsidR="00DB482D" w:rsidRDefault="00DB482D" w:rsidP="00DB482D">
            <w:pPr>
              <w:jc w:val="left"/>
            </w:pPr>
            <w:r>
              <w:lastRenderedPageBreak/>
              <w:t>Sub-activity 1.</w:t>
            </w:r>
            <w:r w:rsidR="00E95891">
              <w:t>22</w:t>
            </w:r>
            <w:r>
              <w:t>. Procurement of resistant juvenile rheumatoid arthritis children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502BE22A" w14:textId="77777777" w:rsidR="00930031" w:rsidRDefault="00930031" w:rsidP="00930031">
            <w:pPr>
              <w:jc w:val="left"/>
            </w:pPr>
          </w:p>
          <w:p w14:paraId="16096F53" w14:textId="5A1089C6" w:rsidR="00507134" w:rsidRDefault="00507134" w:rsidP="00930031">
            <w:pPr>
              <w:jc w:val="left"/>
            </w:pPr>
            <w:r>
              <w:t>Sub-activity</w:t>
            </w:r>
            <w:r w:rsidR="00E95891">
              <w:t xml:space="preserve"> 1.23. </w:t>
            </w:r>
            <w:r>
              <w:t>Procurement of Gaucher disease (2018)</w:t>
            </w:r>
          </w:p>
          <w:p w14:paraId="398D0121" w14:textId="71712FB8" w:rsidR="00A44EA6" w:rsidRDefault="00A44EA6" w:rsidP="00930031">
            <w:pPr>
              <w:jc w:val="left"/>
            </w:pPr>
          </w:p>
          <w:p w14:paraId="1E4092CB" w14:textId="739477EB" w:rsidR="00A44EA6" w:rsidRDefault="00A44EA6" w:rsidP="00930031">
            <w:pPr>
              <w:jc w:val="left"/>
            </w:pPr>
            <w:r>
              <w:t xml:space="preserve">Sub-activity </w:t>
            </w:r>
            <w:r w:rsidR="00E95891">
              <w:t xml:space="preserve">1.24. </w:t>
            </w:r>
            <w:r>
              <w:t>Procurement of Gaucher disease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4027845D" w14:textId="77777777" w:rsidR="00930031" w:rsidRDefault="00930031" w:rsidP="00930031">
            <w:pPr>
              <w:jc w:val="left"/>
            </w:pPr>
          </w:p>
          <w:p w14:paraId="543AB4A0" w14:textId="6EC59EDA" w:rsidR="00507134" w:rsidRDefault="00507134" w:rsidP="00507134">
            <w:pPr>
              <w:jc w:val="left"/>
            </w:pPr>
            <w:r>
              <w:t>Sub-activity 1.</w:t>
            </w:r>
            <w:r w:rsidR="00E95891">
              <w:t>25</w:t>
            </w:r>
            <w:r>
              <w:t>. Procurement of mucopolysaccharidoses (MPS) (2018)</w:t>
            </w:r>
          </w:p>
          <w:p w14:paraId="55E86776" w14:textId="4FD5F9DA" w:rsidR="00A44EA6" w:rsidRDefault="00A44EA6" w:rsidP="00507134">
            <w:pPr>
              <w:jc w:val="left"/>
            </w:pPr>
          </w:p>
          <w:p w14:paraId="29567206" w14:textId="736B244F" w:rsidR="00A44EA6" w:rsidRDefault="00A44EA6" w:rsidP="00A44EA6">
            <w:pPr>
              <w:jc w:val="left"/>
            </w:pPr>
            <w:r>
              <w:t>Sub-activity 1.</w:t>
            </w:r>
            <w:r w:rsidR="00E95891">
              <w:t>26</w:t>
            </w:r>
            <w:r>
              <w:t>. Procurement of mucopolysaccharidoses (MPS)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3082C9CD" w14:textId="77777777" w:rsidR="00686DDD" w:rsidRDefault="00686DDD" w:rsidP="00930031">
            <w:pPr>
              <w:jc w:val="left"/>
            </w:pPr>
          </w:p>
          <w:p w14:paraId="65D593CF" w14:textId="368D9431" w:rsidR="00930031" w:rsidRDefault="00930031" w:rsidP="00930031">
            <w:pPr>
              <w:jc w:val="left"/>
            </w:pPr>
            <w:r>
              <w:t>Sub-activity 1.</w:t>
            </w:r>
            <w:r w:rsidR="00E95891">
              <w:t>27</w:t>
            </w:r>
            <w:r>
              <w:t>. Procurement of medicines and medical products for epidermolysis bullosa (201</w:t>
            </w:r>
            <w:r w:rsidR="00A44EA6">
              <w:rPr>
                <w:lang w:val="uk-UA"/>
              </w:rPr>
              <w:t>9</w:t>
            </w:r>
            <w:r>
              <w:t>)</w:t>
            </w:r>
          </w:p>
          <w:p w14:paraId="4D944716" w14:textId="77777777" w:rsidR="00930031" w:rsidRDefault="00930031" w:rsidP="00930031">
            <w:pPr>
              <w:jc w:val="left"/>
            </w:pPr>
          </w:p>
          <w:p w14:paraId="4C77FD7E" w14:textId="707AEC32" w:rsidR="00930031" w:rsidRDefault="00930031" w:rsidP="00930031">
            <w:pPr>
              <w:jc w:val="left"/>
            </w:pPr>
            <w:r>
              <w:t>Sub-activity 1.</w:t>
            </w:r>
            <w:r w:rsidR="00E95891">
              <w:t>28</w:t>
            </w:r>
            <w:r>
              <w:t>. Procurement of pulmonary arterial hypertension (2017)</w:t>
            </w:r>
          </w:p>
          <w:p w14:paraId="0BFE7D23" w14:textId="77777777" w:rsidR="00686DDD" w:rsidRDefault="00686DDD" w:rsidP="00930031">
            <w:pPr>
              <w:jc w:val="left"/>
            </w:pPr>
          </w:p>
          <w:p w14:paraId="7BFE7EB8" w14:textId="36C4368C" w:rsidR="00594DC0" w:rsidRDefault="00594DC0" w:rsidP="00594DC0">
            <w:pPr>
              <w:jc w:val="left"/>
            </w:pPr>
            <w:r>
              <w:t>Sub-activity 1.</w:t>
            </w:r>
            <w:r w:rsidR="00E95891">
              <w:t>29</w:t>
            </w:r>
            <w:r>
              <w:t>. Procurement of pulmonary arterial hypertension (2018)</w:t>
            </w:r>
          </w:p>
          <w:p w14:paraId="6CE137DB" w14:textId="1728D11C" w:rsidR="00A44EA6" w:rsidRDefault="00A44EA6" w:rsidP="00594DC0">
            <w:pPr>
              <w:jc w:val="left"/>
            </w:pPr>
          </w:p>
          <w:p w14:paraId="347D2682" w14:textId="20AA6D7D" w:rsidR="00A44EA6" w:rsidRDefault="00A44EA6" w:rsidP="00A44EA6">
            <w:pPr>
              <w:jc w:val="left"/>
            </w:pPr>
            <w:r>
              <w:t>Sub-activity 1.</w:t>
            </w:r>
            <w:r w:rsidR="00E95891">
              <w:t xml:space="preserve">30. </w:t>
            </w:r>
            <w:r>
              <w:t>Procurement of pulmonary arterial hypertension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4DAE6106" w14:textId="77777777" w:rsidR="00930031" w:rsidRDefault="00930031" w:rsidP="00930031">
            <w:pPr>
              <w:jc w:val="left"/>
            </w:pPr>
          </w:p>
          <w:p w14:paraId="35CD033D" w14:textId="42DF01DA" w:rsidR="00930031" w:rsidRDefault="00930031" w:rsidP="00930031">
            <w:pPr>
              <w:jc w:val="left"/>
            </w:pPr>
            <w:r>
              <w:t>Sub-activity 1.</w:t>
            </w:r>
            <w:r w:rsidR="00E95891">
              <w:t>31</w:t>
            </w:r>
            <w:r>
              <w:t>. Procurement of haemophilia (201</w:t>
            </w:r>
            <w:r w:rsidR="00BA0FDE">
              <w:rPr>
                <w:lang w:val="uk-UA"/>
              </w:rPr>
              <w:t>8</w:t>
            </w:r>
            <w:r>
              <w:t>)</w:t>
            </w:r>
          </w:p>
          <w:p w14:paraId="5DBFEF83" w14:textId="27546BA7" w:rsidR="00507134" w:rsidRDefault="00507134" w:rsidP="00930031">
            <w:pPr>
              <w:jc w:val="left"/>
            </w:pPr>
          </w:p>
          <w:p w14:paraId="1E44A89A" w14:textId="211BBA15" w:rsidR="00507134" w:rsidRDefault="00507134" w:rsidP="00507134">
            <w:pPr>
              <w:jc w:val="left"/>
            </w:pPr>
            <w:r>
              <w:lastRenderedPageBreak/>
              <w:t>Sub-activity 1.</w:t>
            </w:r>
            <w:r w:rsidR="00E95891">
              <w:t>32</w:t>
            </w:r>
            <w:r>
              <w:t>. Procurement of haemophilia (201</w:t>
            </w:r>
            <w:r w:rsidR="00BA0FDE">
              <w:rPr>
                <w:lang w:val="uk-UA"/>
              </w:rPr>
              <w:t>9</w:t>
            </w:r>
            <w:r>
              <w:t>)</w:t>
            </w:r>
          </w:p>
          <w:p w14:paraId="6F052A8A" w14:textId="77777777" w:rsidR="00BA0FDE" w:rsidRDefault="00BA0FDE" w:rsidP="00507134">
            <w:pPr>
              <w:jc w:val="left"/>
            </w:pPr>
          </w:p>
          <w:p w14:paraId="0B233BBA" w14:textId="06EC0D33" w:rsidR="00930031" w:rsidRDefault="00930031" w:rsidP="00930031">
            <w:pPr>
              <w:jc w:val="left"/>
            </w:pPr>
            <w:r>
              <w:t>Sub-activity 1.</w:t>
            </w:r>
            <w:r w:rsidR="00E95891">
              <w:t>33</w:t>
            </w:r>
            <w:r>
              <w:t>. Procurement of multiple sclerosis (201</w:t>
            </w:r>
            <w:r w:rsidR="00E47BC7">
              <w:t>8</w:t>
            </w:r>
            <w:r>
              <w:t>)</w:t>
            </w:r>
          </w:p>
          <w:p w14:paraId="65532AE9" w14:textId="77777777" w:rsidR="00BA0FDE" w:rsidRDefault="00BA0FDE" w:rsidP="00930031">
            <w:pPr>
              <w:jc w:val="left"/>
            </w:pPr>
          </w:p>
          <w:p w14:paraId="20C4B6EB" w14:textId="3A0F981A" w:rsidR="00BA0FDE" w:rsidRDefault="00BA0FDE" w:rsidP="00BA0FDE">
            <w:pPr>
              <w:jc w:val="left"/>
            </w:pPr>
            <w:r>
              <w:t>Sub-activity 1.</w:t>
            </w:r>
            <w:r w:rsidR="00E95891">
              <w:t>34</w:t>
            </w:r>
            <w:r>
              <w:t>. Procurement of multiple sclerosis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6BA94940" w14:textId="77777777" w:rsidR="00686DDD" w:rsidRDefault="00686DDD" w:rsidP="00930031">
            <w:pPr>
              <w:jc w:val="left"/>
            </w:pPr>
          </w:p>
          <w:p w14:paraId="51BF1A8E" w14:textId="4017C388" w:rsidR="00930031" w:rsidRDefault="00930031" w:rsidP="00930031">
            <w:pPr>
              <w:jc w:val="left"/>
            </w:pPr>
            <w:r>
              <w:t>Sub-activity 1.</w:t>
            </w:r>
            <w:r w:rsidR="00E95891">
              <w:t>35</w:t>
            </w:r>
            <w:r>
              <w:t>. Procurement of   orphan metabolic diseases (201</w:t>
            </w:r>
            <w:r w:rsidR="00BA0FDE">
              <w:rPr>
                <w:lang w:val="uk-UA"/>
              </w:rPr>
              <w:t>8</w:t>
            </w:r>
            <w:r>
              <w:t>)</w:t>
            </w:r>
          </w:p>
          <w:p w14:paraId="4A63B904" w14:textId="77777777" w:rsidR="00507134" w:rsidRDefault="00507134" w:rsidP="00930031">
            <w:pPr>
              <w:jc w:val="left"/>
            </w:pPr>
          </w:p>
          <w:p w14:paraId="127E48E1" w14:textId="409240A9" w:rsidR="00507134" w:rsidRDefault="00507134" w:rsidP="00507134">
            <w:pPr>
              <w:jc w:val="left"/>
            </w:pPr>
            <w:r>
              <w:t>Sub-activity 1.</w:t>
            </w:r>
            <w:r w:rsidR="00E95891">
              <w:t>36</w:t>
            </w:r>
            <w:r>
              <w:t>. Procurement of   orphan metabolic diseases (201</w:t>
            </w:r>
            <w:r w:rsidR="00BA0FDE">
              <w:rPr>
                <w:lang w:val="uk-UA"/>
              </w:rPr>
              <w:t>9</w:t>
            </w:r>
            <w:r>
              <w:t>)</w:t>
            </w:r>
          </w:p>
          <w:p w14:paraId="2B6A8A6F" w14:textId="77777777" w:rsidR="00930031" w:rsidRDefault="00930031" w:rsidP="00930031">
            <w:pPr>
              <w:jc w:val="left"/>
            </w:pPr>
          </w:p>
          <w:p w14:paraId="314D9DCA" w14:textId="0F51A17D" w:rsidR="00930031" w:rsidRPr="00686DDD" w:rsidRDefault="00930031" w:rsidP="00930031">
            <w:pPr>
              <w:jc w:val="left"/>
            </w:pPr>
            <w:r w:rsidRPr="00686DDD">
              <w:t>Sub-activity 1.</w:t>
            </w:r>
            <w:r w:rsidR="00E95891">
              <w:t>37</w:t>
            </w:r>
            <w:r w:rsidRPr="00686DDD">
              <w:t>. Procurement of chronic viral hepatitis children (201</w:t>
            </w:r>
            <w:r w:rsidR="00BA0FDE">
              <w:rPr>
                <w:lang w:val="uk-UA"/>
              </w:rPr>
              <w:t>7</w:t>
            </w:r>
            <w:r w:rsidRPr="00686DDD">
              <w:t>)</w:t>
            </w:r>
          </w:p>
          <w:p w14:paraId="5F79CEA2" w14:textId="5EF917CF" w:rsidR="00F909F9" w:rsidRPr="00686DDD" w:rsidRDefault="00F909F9" w:rsidP="00930031">
            <w:pPr>
              <w:jc w:val="left"/>
            </w:pPr>
          </w:p>
          <w:p w14:paraId="1E10BE86" w14:textId="0AF628BA" w:rsidR="00F909F9" w:rsidRPr="00686DDD" w:rsidRDefault="00F909F9" w:rsidP="00F909F9">
            <w:pPr>
              <w:jc w:val="left"/>
            </w:pPr>
            <w:r w:rsidRPr="000344A5">
              <w:t>Sub-activity 1.</w:t>
            </w:r>
            <w:r w:rsidR="00E95891">
              <w:t>38</w:t>
            </w:r>
            <w:r w:rsidRPr="000344A5">
              <w:t>. Procurement of chronic viral hepatitis children (201</w:t>
            </w:r>
            <w:r w:rsidR="00BA0FDE">
              <w:rPr>
                <w:lang w:val="uk-UA"/>
              </w:rPr>
              <w:t>8</w:t>
            </w:r>
            <w:r w:rsidRPr="000344A5">
              <w:t>)</w:t>
            </w:r>
          </w:p>
          <w:p w14:paraId="2C9FC9F6" w14:textId="77777777" w:rsidR="008B7B00" w:rsidRPr="00686DDD" w:rsidRDefault="008B7B00" w:rsidP="008B7B00">
            <w:pPr>
              <w:jc w:val="left"/>
            </w:pPr>
          </w:p>
          <w:p w14:paraId="0913B76A" w14:textId="2B8E4280" w:rsidR="008B7B00" w:rsidRDefault="008B7B00" w:rsidP="008B7B00">
            <w:pPr>
              <w:jc w:val="left"/>
            </w:pPr>
            <w:r w:rsidRPr="000344A5">
              <w:t>Sub-activity 1.</w:t>
            </w:r>
            <w:r w:rsidR="00E95891">
              <w:t>39</w:t>
            </w:r>
            <w:r w:rsidRPr="000344A5">
              <w:t>. Procurement of chronic viral hepatitis children (201</w:t>
            </w:r>
            <w:r w:rsidR="00BA0FDE">
              <w:rPr>
                <w:lang w:val="uk-UA"/>
              </w:rPr>
              <w:t>9</w:t>
            </w:r>
            <w:r w:rsidRPr="000344A5">
              <w:t>)</w:t>
            </w:r>
          </w:p>
          <w:p w14:paraId="34629168" w14:textId="77777777" w:rsidR="00930031" w:rsidRDefault="00930031" w:rsidP="00930031">
            <w:pPr>
              <w:jc w:val="left"/>
            </w:pPr>
          </w:p>
          <w:p w14:paraId="44712024" w14:textId="7615903D" w:rsidR="00930031" w:rsidRDefault="00930031" w:rsidP="00930031">
            <w:pPr>
              <w:jc w:val="left"/>
            </w:pPr>
            <w:r>
              <w:t>Sub-activity 1.</w:t>
            </w:r>
            <w:r w:rsidR="00E95891">
              <w:t>40</w:t>
            </w:r>
            <w:r>
              <w:t>. Procurement of   haemophilia A or B, von Willebrand disease children (201</w:t>
            </w:r>
            <w:r w:rsidR="00DF00C4">
              <w:t>8</w:t>
            </w:r>
            <w:r>
              <w:t>)</w:t>
            </w:r>
          </w:p>
          <w:p w14:paraId="790CE58D" w14:textId="77777777" w:rsidR="00BA0FDE" w:rsidRDefault="00BA0FDE" w:rsidP="00930031">
            <w:pPr>
              <w:jc w:val="left"/>
            </w:pPr>
          </w:p>
          <w:p w14:paraId="7A3A7518" w14:textId="147AF21E" w:rsidR="00BA0FDE" w:rsidRDefault="00BA0FDE" w:rsidP="00BA0FDE">
            <w:pPr>
              <w:jc w:val="left"/>
            </w:pPr>
            <w:r>
              <w:t>Sub-activity 1.</w:t>
            </w:r>
            <w:r w:rsidR="00E95891">
              <w:t>41</w:t>
            </w:r>
            <w:r>
              <w:t>. Procurement of   haemophilia A or B, von Willebrand disease children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42EAEB5B" w14:textId="77777777" w:rsidR="00930031" w:rsidRDefault="00930031" w:rsidP="00930031">
            <w:pPr>
              <w:jc w:val="left"/>
            </w:pPr>
          </w:p>
          <w:p w14:paraId="4953D993" w14:textId="4C93D2C7" w:rsidR="00930031" w:rsidRPr="00686DDD" w:rsidRDefault="00930031" w:rsidP="00930031">
            <w:pPr>
              <w:jc w:val="left"/>
            </w:pPr>
            <w:r w:rsidRPr="00686DDD">
              <w:lastRenderedPageBreak/>
              <w:t>Sub-activity 1.</w:t>
            </w:r>
            <w:r w:rsidR="00E95891">
              <w:t>42</w:t>
            </w:r>
            <w:r w:rsidRPr="00686DDD">
              <w:t xml:space="preserve">. Procurement of   medicines and medical devices for cancer and </w:t>
            </w:r>
            <w:proofErr w:type="spellStart"/>
            <w:r w:rsidRPr="00686DDD">
              <w:t>oncohematological</w:t>
            </w:r>
            <w:proofErr w:type="spellEnd"/>
            <w:r w:rsidRPr="00686DDD">
              <w:t xml:space="preserve"> diseases children (201</w:t>
            </w:r>
            <w:r w:rsidR="00BA0FDE">
              <w:rPr>
                <w:lang w:val="uk-UA"/>
              </w:rPr>
              <w:t>7</w:t>
            </w:r>
            <w:r w:rsidRPr="00686DDD">
              <w:t>)</w:t>
            </w:r>
          </w:p>
          <w:p w14:paraId="629DA6B5" w14:textId="55116231" w:rsidR="00F909F9" w:rsidRPr="00686DDD" w:rsidRDefault="00F909F9" w:rsidP="00930031">
            <w:pPr>
              <w:jc w:val="left"/>
            </w:pPr>
          </w:p>
          <w:p w14:paraId="304DD267" w14:textId="3F81E488" w:rsidR="00F909F9" w:rsidRPr="00686DDD" w:rsidRDefault="00F909F9" w:rsidP="00F909F9">
            <w:pPr>
              <w:jc w:val="left"/>
            </w:pPr>
            <w:r w:rsidRPr="000344A5">
              <w:t>Sub-activity 1.</w:t>
            </w:r>
            <w:r w:rsidR="00E95891">
              <w:t>43</w:t>
            </w:r>
            <w:r w:rsidRPr="000344A5">
              <w:t xml:space="preserve">. Procurement of   medicines and medical devices for cancer and </w:t>
            </w:r>
            <w:proofErr w:type="spellStart"/>
            <w:r w:rsidRPr="000344A5">
              <w:t>oncohematological</w:t>
            </w:r>
            <w:proofErr w:type="spellEnd"/>
            <w:r w:rsidRPr="000344A5">
              <w:t xml:space="preserve"> diseases children (201</w:t>
            </w:r>
            <w:r w:rsidR="00BA0FDE">
              <w:rPr>
                <w:lang w:val="uk-UA"/>
              </w:rPr>
              <w:t>8</w:t>
            </w:r>
            <w:r w:rsidRPr="000344A5">
              <w:t>)</w:t>
            </w:r>
          </w:p>
          <w:p w14:paraId="38110637" w14:textId="002844C6" w:rsidR="00DF00C4" w:rsidRPr="00686DDD" w:rsidRDefault="00DF00C4" w:rsidP="00F909F9">
            <w:pPr>
              <w:jc w:val="left"/>
            </w:pPr>
          </w:p>
          <w:p w14:paraId="5AD39E4A" w14:textId="43BC0FBD" w:rsidR="00DF00C4" w:rsidRDefault="00DF00C4" w:rsidP="00DF00C4">
            <w:pPr>
              <w:jc w:val="left"/>
            </w:pPr>
            <w:r w:rsidRPr="000344A5">
              <w:t>Sub-activity 1.</w:t>
            </w:r>
            <w:r w:rsidR="00E95891">
              <w:t>44</w:t>
            </w:r>
            <w:r w:rsidRPr="000344A5">
              <w:t xml:space="preserve">. Procurement of   medicines and medical devices for cancer and </w:t>
            </w:r>
            <w:proofErr w:type="spellStart"/>
            <w:r w:rsidRPr="000344A5">
              <w:t>oncohematological</w:t>
            </w:r>
            <w:proofErr w:type="spellEnd"/>
            <w:r w:rsidRPr="000344A5">
              <w:t xml:space="preserve"> diseases children (201</w:t>
            </w:r>
            <w:r w:rsidR="00BA0FDE">
              <w:rPr>
                <w:lang w:val="uk-UA"/>
              </w:rPr>
              <w:t>9</w:t>
            </w:r>
            <w:r w:rsidRPr="000344A5">
              <w:t>)</w:t>
            </w:r>
          </w:p>
          <w:p w14:paraId="23E31CC6" w14:textId="77777777" w:rsidR="00DF00C4" w:rsidRPr="000344A5" w:rsidRDefault="00DF00C4" w:rsidP="00F909F9">
            <w:pPr>
              <w:jc w:val="left"/>
              <w:rPr>
                <w:b/>
                <w:bCs/>
              </w:rPr>
            </w:pPr>
          </w:p>
          <w:p w14:paraId="516516AA" w14:textId="20B4A57F" w:rsidR="00F909F9" w:rsidRDefault="00F909F9" w:rsidP="00F909F9">
            <w:pPr>
              <w:jc w:val="left"/>
            </w:pPr>
            <w:r>
              <w:t xml:space="preserve">Sub-activity </w:t>
            </w:r>
            <w:r w:rsidR="00E95891">
              <w:t xml:space="preserve">1.45. </w:t>
            </w:r>
            <w:r>
              <w:t xml:space="preserve"> </w:t>
            </w:r>
            <w:r w:rsidRPr="00F909F9">
              <w:t>Procurement of medicines for children with primary (congenital) immunodeficiency</w:t>
            </w:r>
            <w:r>
              <w:t xml:space="preserve"> (2017)</w:t>
            </w:r>
          </w:p>
          <w:p w14:paraId="1C2470B2" w14:textId="77777777" w:rsidR="00BA0FDE" w:rsidRDefault="00BA0FDE" w:rsidP="00F909F9">
            <w:pPr>
              <w:jc w:val="left"/>
            </w:pPr>
          </w:p>
          <w:p w14:paraId="01E3005F" w14:textId="4D3DB8D3" w:rsidR="00E47BC7" w:rsidRDefault="00E47BC7" w:rsidP="00E47BC7">
            <w:pPr>
              <w:jc w:val="left"/>
            </w:pPr>
            <w:r>
              <w:t xml:space="preserve">Sub-activity </w:t>
            </w:r>
            <w:r w:rsidR="00E95891">
              <w:t xml:space="preserve">1.46. </w:t>
            </w:r>
            <w:r w:rsidRPr="00F909F9">
              <w:t>Procurement of medicines for children with primary (congenital) immunodeficiency</w:t>
            </w:r>
            <w:r>
              <w:t xml:space="preserve"> (2018)</w:t>
            </w:r>
          </w:p>
          <w:p w14:paraId="25B56B56" w14:textId="3BE39C28" w:rsidR="00BA0FDE" w:rsidRDefault="00BA0FDE" w:rsidP="00E47BC7">
            <w:pPr>
              <w:jc w:val="left"/>
            </w:pPr>
          </w:p>
          <w:p w14:paraId="30B70441" w14:textId="5AB9E0AF" w:rsidR="00BA0FDE" w:rsidRDefault="00BA0FDE" w:rsidP="00BA0FDE">
            <w:pPr>
              <w:jc w:val="left"/>
            </w:pPr>
            <w:r>
              <w:t xml:space="preserve">Sub-activity </w:t>
            </w:r>
            <w:r w:rsidR="00E95891">
              <w:t xml:space="preserve">1.47. </w:t>
            </w:r>
            <w:r>
              <w:t xml:space="preserve"> </w:t>
            </w:r>
            <w:r w:rsidRPr="00F909F9">
              <w:t>Procurement of medicines for children with primary (congenital) immunodeficiency</w:t>
            </w:r>
            <w:r>
              <w:t xml:space="preserve">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53B92C3D" w14:textId="77777777" w:rsidR="00E47BC7" w:rsidRDefault="00E47BC7" w:rsidP="00F909F9">
            <w:pPr>
              <w:jc w:val="left"/>
            </w:pPr>
          </w:p>
          <w:p w14:paraId="01AA92F0" w14:textId="53E85FA0" w:rsidR="00F909F9" w:rsidRDefault="00F909F9" w:rsidP="00930031">
            <w:pPr>
              <w:jc w:val="left"/>
            </w:pPr>
            <w:r>
              <w:t>Sub-activity</w:t>
            </w:r>
            <w:r w:rsidR="00E95891">
              <w:t xml:space="preserve"> 1.48. </w:t>
            </w:r>
            <w:r w:rsidRPr="00F909F9">
              <w:t>Procurement of medicines for patients with viral hepatitis B and C</w:t>
            </w:r>
            <w:r>
              <w:t xml:space="preserve"> (2017)</w:t>
            </w:r>
          </w:p>
          <w:p w14:paraId="3E69C8D8" w14:textId="7B4AEE64" w:rsidR="00DF00C4" w:rsidRDefault="00DF00C4" w:rsidP="00930031">
            <w:pPr>
              <w:jc w:val="left"/>
            </w:pPr>
          </w:p>
          <w:p w14:paraId="4CDFC17F" w14:textId="14A96953" w:rsidR="00DF00C4" w:rsidRDefault="00DF00C4" w:rsidP="00DF00C4">
            <w:pPr>
              <w:jc w:val="left"/>
            </w:pPr>
            <w:r>
              <w:lastRenderedPageBreak/>
              <w:t>Sub-activity</w:t>
            </w:r>
            <w:r w:rsidR="00E95891">
              <w:t xml:space="preserve"> 1.49. </w:t>
            </w:r>
            <w:r w:rsidRPr="00F909F9">
              <w:t>Procurement of medicines for patients with viral hepatitis B and C</w:t>
            </w:r>
            <w:r>
              <w:t xml:space="preserve"> (2018)</w:t>
            </w:r>
          </w:p>
          <w:p w14:paraId="50D19775" w14:textId="13AC32B5" w:rsidR="00BA0FDE" w:rsidRDefault="00BA0FDE" w:rsidP="00DF00C4">
            <w:pPr>
              <w:jc w:val="left"/>
            </w:pPr>
          </w:p>
          <w:p w14:paraId="42F3F27E" w14:textId="3ED01260" w:rsidR="00BA0FDE" w:rsidRDefault="00BA0FDE" w:rsidP="00BA0FDE">
            <w:pPr>
              <w:jc w:val="left"/>
            </w:pPr>
            <w:r>
              <w:t>Sub-activity</w:t>
            </w:r>
            <w:r w:rsidR="00E95891">
              <w:t xml:space="preserve"> 1.50. </w:t>
            </w:r>
            <w:r w:rsidRPr="00F909F9">
              <w:t>Procurement of medicines for patients with viral hepatitis B and C</w:t>
            </w:r>
            <w:r>
              <w:t xml:space="preserve">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04A87010" w14:textId="77777777" w:rsidR="00DF00C4" w:rsidRDefault="00DF00C4" w:rsidP="00930031">
            <w:pPr>
              <w:jc w:val="left"/>
            </w:pPr>
          </w:p>
          <w:p w14:paraId="4581BC0D" w14:textId="730AA819" w:rsidR="00F909F9" w:rsidRDefault="00F909F9" w:rsidP="00930031">
            <w:pPr>
              <w:jc w:val="left"/>
            </w:pPr>
            <w:r>
              <w:t xml:space="preserve">Sub-activity </w:t>
            </w:r>
            <w:r w:rsidR="00E95891">
              <w:t xml:space="preserve">1.51. </w:t>
            </w:r>
            <w:r>
              <w:t xml:space="preserve"> </w:t>
            </w:r>
            <w:r w:rsidRPr="00F909F9">
              <w:t>Procurement of medicines for treatment of tuberculosis</w:t>
            </w:r>
            <w:r>
              <w:t xml:space="preserve"> (2017)</w:t>
            </w:r>
          </w:p>
          <w:p w14:paraId="3356230D" w14:textId="77777777" w:rsidR="00BA0FDE" w:rsidRDefault="00BA0FDE" w:rsidP="00930031">
            <w:pPr>
              <w:jc w:val="left"/>
            </w:pPr>
          </w:p>
          <w:p w14:paraId="67B0C771" w14:textId="7ADFCCC0" w:rsidR="00DF00C4" w:rsidRDefault="00DF00C4" w:rsidP="00DF00C4">
            <w:pPr>
              <w:jc w:val="left"/>
            </w:pPr>
            <w:r>
              <w:t xml:space="preserve">Sub-activity </w:t>
            </w:r>
            <w:r w:rsidR="00E95891">
              <w:t xml:space="preserve">1.52. </w:t>
            </w:r>
            <w:r>
              <w:t xml:space="preserve"> </w:t>
            </w:r>
            <w:r w:rsidRPr="00F909F9">
              <w:t>Procurement of medicines for treatment of tuberculosis</w:t>
            </w:r>
            <w:r>
              <w:t xml:space="preserve"> (2018)</w:t>
            </w:r>
          </w:p>
          <w:p w14:paraId="34999AB3" w14:textId="03D0A4DD" w:rsidR="00550C3A" w:rsidRDefault="00550C3A" w:rsidP="00DF00C4">
            <w:pPr>
              <w:jc w:val="left"/>
            </w:pPr>
          </w:p>
          <w:p w14:paraId="2D8E466F" w14:textId="0C1154A9" w:rsidR="00550C3A" w:rsidRDefault="00550C3A" w:rsidP="00550C3A">
            <w:pPr>
              <w:jc w:val="left"/>
            </w:pPr>
            <w:r>
              <w:t>Sub-activity</w:t>
            </w:r>
            <w:r w:rsidR="00E95891">
              <w:t xml:space="preserve"> 1.53. </w:t>
            </w:r>
            <w:r w:rsidRPr="00F909F9">
              <w:t>Procurement of medicines for treatment of tuberculosis</w:t>
            </w:r>
            <w:r>
              <w:t xml:space="preserve">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3B56DB5F" w14:textId="0E2A93D2" w:rsidR="00F909F9" w:rsidRDefault="00F909F9" w:rsidP="00930031">
            <w:pPr>
              <w:jc w:val="left"/>
            </w:pPr>
          </w:p>
          <w:p w14:paraId="12759DA2" w14:textId="76BEE3BF" w:rsidR="00F909F9" w:rsidRDefault="00F909F9" w:rsidP="00930031">
            <w:pPr>
              <w:jc w:val="left"/>
            </w:pPr>
            <w:r>
              <w:t xml:space="preserve">Sub-activity </w:t>
            </w:r>
            <w:r w:rsidR="00E95891">
              <w:t xml:space="preserve">1.54. </w:t>
            </w:r>
            <w:r>
              <w:t xml:space="preserve"> </w:t>
            </w:r>
            <w:r w:rsidRPr="00F909F9">
              <w:t>Procurement of tests, supplies for the diagnosis of tuberculosis</w:t>
            </w:r>
            <w:r>
              <w:t xml:space="preserve"> (2017).</w:t>
            </w:r>
          </w:p>
          <w:p w14:paraId="315444F8" w14:textId="08E6AEA5" w:rsidR="00594DC0" w:rsidRDefault="00594DC0" w:rsidP="00930031">
            <w:pPr>
              <w:jc w:val="left"/>
            </w:pPr>
          </w:p>
          <w:p w14:paraId="24FC2016" w14:textId="14341C49" w:rsidR="00594DC0" w:rsidRDefault="00594DC0" w:rsidP="00594DC0">
            <w:pPr>
              <w:jc w:val="left"/>
            </w:pPr>
            <w:r>
              <w:t xml:space="preserve">Sub-activity </w:t>
            </w:r>
            <w:r w:rsidR="00E95891">
              <w:t xml:space="preserve">1.55. </w:t>
            </w:r>
            <w:r>
              <w:t xml:space="preserve"> </w:t>
            </w:r>
            <w:r w:rsidRPr="00F909F9">
              <w:t>Procurement of tests, supplies for the diagnosis of tuberculosis</w:t>
            </w:r>
            <w:r>
              <w:t xml:space="preserve"> (2018).</w:t>
            </w:r>
          </w:p>
          <w:p w14:paraId="5CE61C63" w14:textId="02DBE938" w:rsidR="00550C3A" w:rsidRDefault="00550C3A" w:rsidP="00594DC0">
            <w:pPr>
              <w:jc w:val="left"/>
            </w:pPr>
          </w:p>
          <w:p w14:paraId="05A9420D" w14:textId="2A26987D" w:rsidR="00550C3A" w:rsidRDefault="00550C3A" w:rsidP="00550C3A">
            <w:pPr>
              <w:jc w:val="left"/>
            </w:pPr>
            <w:r>
              <w:t xml:space="preserve">Sub-activity </w:t>
            </w:r>
            <w:r w:rsidR="00E95891">
              <w:t xml:space="preserve">1.56. </w:t>
            </w:r>
            <w:r>
              <w:t xml:space="preserve"> </w:t>
            </w:r>
            <w:r w:rsidRPr="00F909F9">
              <w:t>Procurement of tests, supplies for the diagnosis of tuberculosis</w:t>
            </w:r>
            <w:r>
              <w:t xml:space="preserve"> (201</w:t>
            </w:r>
            <w:r>
              <w:rPr>
                <w:lang w:val="uk-UA"/>
              </w:rPr>
              <w:t>9</w:t>
            </w:r>
            <w:r>
              <w:t>).</w:t>
            </w:r>
          </w:p>
          <w:p w14:paraId="64777821" w14:textId="564876B6" w:rsidR="00594DC0" w:rsidRDefault="00594DC0" w:rsidP="00930031">
            <w:pPr>
              <w:jc w:val="left"/>
            </w:pPr>
          </w:p>
          <w:p w14:paraId="34FEF890" w14:textId="31FB13FF" w:rsidR="00594DC0" w:rsidRDefault="00594DC0" w:rsidP="00930031">
            <w:pPr>
              <w:jc w:val="left"/>
            </w:pPr>
            <w:r>
              <w:lastRenderedPageBreak/>
              <w:t xml:space="preserve">Sub-activity </w:t>
            </w:r>
            <w:r w:rsidR="00E95891">
              <w:t xml:space="preserve">1.57.  </w:t>
            </w:r>
            <w:r w:rsidRPr="00594DC0">
              <w:t>Medicines for patients with infectious diseases, accompanied by high levels of mortality</w:t>
            </w:r>
            <w:r>
              <w:t xml:space="preserve"> (2018)</w:t>
            </w:r>
          </w:p>
          <w:p w14:paraId="48056BC0" w14:textId="77777777" w:rsidR="00550C3A" w:rsidRDefault="00550C3A" w:rsidP="00550C3A">
            <w:pPr>
              <w:jc w:val="left"/>
            </w:pPr>
          </w:p>
          <w:p w14:paraId="13039213" w14:textId="31623801" w:rsidR="00550C3A" w:rsidRDefault="00550C3A" w:rsidP="00550C3A">
            <w:pPr>
              <w:jc w:val="left"/>
            </w:pPr>
            <w:r>
              <w:t xml:space="preserve">Sub-activity </w:t>
            </w:r>
            <w:r w:rsidR="00E95891">
              <w:t xml:space="preserve">1.58.  </w:t>
            </w:r>
            <w:r w:rsidRPr="00594DC0">
              <w:t>Medicines for patients with infectious diseases, accompanied by high levels of mortality</w:t>
            </w:r>
            <w:r>
              <w:t xml:space="preserve"> (201</w:t>
            </w:r>
            <w:r>
              <w:rPr>
                <w:lang w:val="uk-UA"/>
              </w:rPr>
              <w:t>9</w:t>
            </w:r>
            <w:r>
              <w:t>)</w:t>
            </w:r>
          </w:p>
          <w:p w14:paraId="5558A912" w14:textId="455AF9EB" w:rsidR="000B52BA" w:rsidRDefault="000B52BA" w:rsidP="00930031">
            <w:pPr>
              <w:jc w:val="left"/>
            </w:pPr>
          </w:p>
          <w:p w14:paraId="242C7B85" w14:textId="5A463BA3" w:rsidR="00930031" w:rsidRDefault="000B52BA">
            <w:pPr>
              <w:jc w:val="left"/>
            </w:pPr>
            <w:r>
              <w:t>Sub-activity</w:t>
            </w:r>
            <w:r w:rsidR="00E95891">
              <w:t xml:space="preserve"> 1.59. </w:t>
            </w:r>
            <w:r>
              <w:t xml:space="preserve">Procurement of medicine </w:t>
            </w:r>
            <w:r w:rsidR="00E95891" w:rsidRPr="00E95891">
              <w:t>for children with dwarfism of various origins</w:t>
            </w:r>
            <w:r w:rsidR="00E95891">
              <w:rPr>
                <w:b/>
                <w:i/>
              </w:rPr>
              <w:t xml:space="preserve"> </w:t>
            </w:r>
            <w:r w:rsidR="00E95891">
              <w:t>(2019)</w:t>
            </w:r>
          </w:p>
          <w:p w14:paraId="53C66977" w14:textId="77777777" w:rsidR="00E95891" w:rsidRDefault="00E95891">
            <w:pPr>
              <w:jc w:val="left"/>
            </w:pPr>
          </w:p>
          <w:p w14:paraId="1C0020F9" w14:textId="2B2B74E8" w:rsidR="00E95891" w:rsidRDefault="00E95891">
            <w:pPr>
              <w:jc w:val="left"/>
            </w:pPr>
            <w:r>
              <w:t xml:space="preserve">Sub-activity 1.60. Procurement of medicine </w:t>
            </w:r>
            <w:r w:rsidRPr="00E95891">
              <w:t>and small laboratory equipment for female infertility treatment by means of assisted reproductive technologies</w:t>
            </w:r>
            <w:r>
              <w:t xml:space="preserve"> (2019)</w:t>
            </w:r>
          </w:p>
          <w:p w14:paraId="5BF16038" w14:textId="77777777" w:rsidR="00E95891" w:rsidRDefault="00E95891">
            <w:pPr>
              <w:jc w:val="left"/>
            </w:pPr>
          </w:p>
          <w:p w14:paraId="3EB50911" w14:textId="0EF9C881" w:rsidR="00E95891" w:rsidRDefault="00E95891">
            <w:pPr>
              <w:jc w:val="left"/>
            </w:pPr>
            <w:r>
              <w:t>Sub-activity</w:t>
            </w:r>
            <w:r w:rsidR="00B0275F">
              <w:t xml:space="preserve"> 1.61. </w:t>
            </w:r>
            <w:r>
              <w:t xml:space="preserve">Procurement of medicine </w:t>
            </w:r>
            <w:r w:rsidRPr="00E95891">
              <w:t xml:space="preserve">for Anti-D immunoglobulin for the prevention of </w:t>
            </w:r>
            <w:proofErr w:type="spellStart"/>
            <w:r w:rsidRPr="00E95891">
              <w:t>hemolytic</w:t>
            </w:r>
            <w:proofErr w:type="spellEnd"/>
            <w:r w:rsidRPr="00E95891">
              <w:t xml:space="preserve"> disease of the </w:t>
            </w:r>
            <w:proofErr w:type="spellStart"/>
            <w:r w:rsidRPr="00E95891">
              <w:t>newborn</w:t>
            </w:r>
            <w:proofErr w:type="spellEnd"/>
            <w:r>
              <w:t xml:space="preserve"> (2019)</w:t>
            </w:r>
          </w:p>
          <w:p w14:paraId="68F080CE" w14:textId="30296283" w:rsidR="00E95891" w:rsidRPr="000344A5" w:rsidRDefault="00E95891">
            <w:pPr>
              <w:jc w:val="left"/>
            </w:pPr>
          </w:p>
        </w:tc>
        <w:tc>
          <w:tcPr>
            <w:tcW w:w="557" w:type="dxa"/>
            <w:shd w:val="clear" w:color="auto" w:fill="auto"/>
          </w:tcPr>
          <w:p w14:paraId="6D8A4B08" w14:textId="77777777" w:rsidR="00930031" w:rsidRDefault="00930031" w:rsidP="00930031">
            <w:pPr>
              <w:keepNext/>
              <w:spacing w:before="60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554" w:type="dxa"/>
            <w:shd w:val="clear" w:color="auto" w:fill="auto"/>
          </w:tcPr>
          <w:p w14:paraId="6D6D56D5" w14:textId="77777777" w:rsidR="00930031" w:rsidRDefault="00930031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16A91CFF" w14:textId="77777777" w:rsidR="00930031" w:rsidRDefault="00930031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14:paraId="70CA209A" w14:textId="77777777" w:rsidR="00930031" w:rsidRDefault="00930031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23" w:type="dxa"/>
            <w:shd w:val="clear" w:color="auto" w:fill="auto"/>
          </w:tcPr>
          <w:p w14:paraId="1551961B" w14:textId="77777777" w:rsidR="00930031" w:rsidRDefault="00930031" w:rsidP="00930031">
            <w:pPr>
              <w:jc w:val="left"/>
            </w:pPr>
            <w:r>
              <w:t>UNDP</w:t>
            </w:r>
          </w:p>
          <w:p w14:paraId="75F83B7C" w14:textId="77777777" w:rsidR="00930031" w:rsidRDefault="00930031" w:rsidP="00930031">
            <w:pPr>
              <w:keepNext/>
              <w:spacing w:before="60"/>
              <w:jc w:val="left"/>
            </w:pPr>
            <w:r>
              <w:t>Ministry of Health of Ukraine</w:t>
            </w:r>
          </w:p>
        </w:tc>
        <w:tc>
          <w:tcPr>
            <w:tcW w:w="1256" w:type="dxa"/>
            <w:shd w:val="clear" w:color="auto" w:fill="auto"/>
          </w:tcPr>
          <w:p w14:paraId="4F0EEE4B" w14:textId="77777777" w:rsidR="00930031" w:rsidRDefault="00930031" w:rsidP="00930031">
            <w:pPr>
              <w:keepNext/>
              <w:spacing w:before="60"/>
              <w:jc w:val="center"/>
            </w:pPr>
            <w:r>
              <w:t>MOH</w:t>
            </w:r>
          </w:p>
        </w:tc>
        <w:tc>
          <w:tcPr>
            <w:tcW w:w="2173" w:type="dxa"/>
            <w:shd w:val="clear" w:color="auto" w:fill="auto"/>
          </w:tcPr>
          <w:p w14:paraId="0AD8A2F8" w14:textId="77777777" w:rsidR="00930031" w:rsidRDefault="00930031" w:rsidP="00930031">
            <w:r>
              <w:t xml:space="preserve">72300 </w:t>
            </w:r>
          </w:p>
          <w:p w14:paraId="33F0B0E7" w14:textId="77777777" w:rsidR="00930031" w:rsidRDefault="00930031" w:rsidP="00930031">
            <w:r>
              <w:t xml:space="preserve">(Materials &amp; Goods) </w:t>
            </w:r>
          </w:p>
          <w:p w14:paraId="33BF5939" w14:textId="77777777" w:rsidR="00930031" w:rsidRDefault="00930031" w:rsidP="00930031"/>
          <w:p w14:paraId="4ECEA83D" w14:textId="77777777" w:rsidR="00930031" w:rsidRDefault="00930031" w:rsidP="00930031"/>
          <w:p w14:paraId="6918FF67" w14:textId="77777777" w:rsidR="00930031" w:rsidRDefault="00930031" w:rsidP="00930031"/>
          <w:p w14:paraId="7F0B0B0D" w14:textId="77777777" w:rsidR="00930031" w:rsidRDefault="00930031" w:rsidP="00D84C2B">
            <w:pPr>
              <w:jc w:val="left"/>
            </w:pPr>
            <w:r>
              <w:t>74700</w:t>
            </w:r>
          </w:p>
          <w:p w14:paraId="65B3DC7E" w14:textId="532461C0" w:rsidR="00930031" w:rsidRDefault="00930031" w:rsidP="00D84C2B">
            <w:pPr>
              <w:jc w:val="left"/>
            </w:pPr>
            <w:r>
              <w:t xml:space="preserve">(Transport, </w:t>
            </w:r>
            <w:r w:rsidR="00D84C2B">
              <w:t>s</w:t>
            </w:r>
            <w:r>
              <w:t>hipping and handl</w:t>
            </w:r>
            <w:r w:rsidR="00D84C2B">
              <w:t>ing</w:t>
            </w:r>
            <w:r>
              <w:t>)</w:t>
            </w:r>
          </w:p>
          <w:p w14:paraId="401EC7D5" w14:textId="77777777" w:rsidR="00930031" w:rsidRDefault="00930031" w:rsidP="00930031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E1EC" w14:textId="771B3FD1" w:rsidR="00B33B54" w:rsidRPr="00B33B54" w:rsidRDefault="00DC295E" w:rsidP="00B33B54">
            <w:pPr>
              <w:spacing w:after="0"/>
            </w:pPr>
            <w:r>
              <w:t xml:space="preserve">$ </w:t>
            </w:r>
            <w:r w:rsidR="00B33B54" w:rsidRPr="00B33B54">
              <w:t>277 451 250</w:t>
            </w:r>
          </w:p>
          <w:p w14:paraId="2C78162A" w14:textId="51049094" w:rsidR="00930031" w:rsidRPr="00722224" w:rsidRDefault="00930031" w:rsidP="00930031">
            <w:pPr>
              <w:rPr>
                <w:i/>
                <w:highlight w:val="yellow"/>
              </w:rPr>
            </w:pPr>
          </w:p>
        </w:tc>
      </w:tr>
      <w:tr w:rsidR="00930031" w14:paraId="439A7261" w14:textId="77777777" w:rsidTr="00841117">
        <w:trPr>
          <w:trHeight w:val="680"/>
        </w:trPr>
        <w:tc>
          <w:tcPr>
            <w:tcW w:w="13765" w:type="dxa"/>
            <w:gridSpan w:val="9"/>
            <w:shd w:val="clear" w:color="auto" w:fill="BFBFBF"/>
          </w:tcPr>
          <w:p w14:paraId="4C77DC7A" w14:textId="29133F95" w:rsidR="00930031" w:rsidRDefault="00930031" w:rsidP="00930031">
            <w:pPr>
              <w:jc w:val="right"/>
              <w:rPr>
                <w:i/>
              </w:rPr>
            </w:pPr>
            <w:r>
              <w:rPr>
                <w:b/>
              </w:rPr>
              <w:lastRenderedPageBreak/>
              <w:t xml:space="preserve">Total Output 1, USD: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52120F" w14:textId="77777777" w:rsidR="00930031" w:rsidRDefault="00930031" w:rsidP="00930031">
            <w:pPr>
              <w:jc w:val="right"/>
            </w:pPr>
          </w:p>
        </w:tc>
        <w:tc>
          <w:tcPr>
            <w:tcW w:w="1978" w:type="dxa"/>
            <w:shd w:val="clear" w:color="auto" w:fill="BFBFBF"/>
          </w:tcPr>
          <w:p w14:paraId="21CC3383" w14:textId="477A6857" w:rsidR="00DC295E" w:rsidRPr="00DC295E" w:rsidRDefault="00DC295E" w:rsidP="00DC295E">
            <w:pPr>
              <w:spacing w:after="0"/>
              <w:rPr>
                <w:b/>
              </w:rPr>
            </w:pPr>
            <w:r w:rsidRPr="00DC295E">
              <w:rPr>
                <w:b/>
              </w:rPr>
              <w:t>$ 277 451 250</w:t>
            </w:r>
          </w:p>
          <w:p w14:paraId="408B85D7" w14:textId="7BCA7A8B" w:rsidR="00930031" w:rsidRPr="00E612D7" w:rsidRDefault="00930031" w:rsidP="00930031">
            <w:pPr>
              <w:rPr>
                <w:b/>
              </w:rPr>
            </w:pPr>
          </w:p>
        </w:tc>
      </w:tr>
    </w:tbl>
    <w:p w14:paraId="1722D4F3" w14:textId="77777777" w:rsidR="00930031" w:rsidRDefault="00930031" w:rsidP="00930031">
      <w:r>
        <w:br w:type="page"/>
      </w:r>
    </w:p>
    <w:tbl>
      <w:tblPr>
        <w:tblStyle w:val="1"/>
        <w:tblW w:w="15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45"/>
        <w:gridCol w:w="2887"/>
        <w:gridCol w:w="557"/>
        <w:gridCol w:w="554"/>
        <w:gridCol w:w="554"/>
        <w:gridCol w:w="554"/>
        <w:gridCol w:w="1650"/>
        <w:gridCol w:w="1080"/>
        <w:gridCol w:w="2514"/>
        <w:gridCol w:w="1896"/>
      </w:tblGrid>
      <w:tr w:rsidR="00DC295E" w14:paraId="52D0E339" w14:textId="77777777" w:rsidTr="00D06432">
        <w:trPr>
          <w:trHeight w:val="680"/>
        </w:trPr>
        <w:tc>
          <w:tcPr>
            <w:tcW w:w="2160" w:type="dxa"/>
            <w:vMerge w:val="restart"/>
            <w:shd w:val="clear" w:color="auto" w:fill="auto"/>
          </w:tcPr>
          <w:p w14:paraId="2E501C5C" w14:textId="77777777" w:rsidR="00DC295E" w:rsidRDefault="00DC295E" w:rsidP="0093003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Output 2:</w:t>
            </w:r>
          </w:p>
          <w:p w14:paraId="525CC419" w14:textId="77777777" w:rsidR="00DC295E" w:rsidRDefault="00DC295E" w:rsidP="00930031">
            <w:pPr>
              <w:spacing w:after="0"/>
            </w:pPr>
            <w:r>
              <w:rPr>
                <w:b/>
              </w:rPr>
              <w:t>The system of public procurement is strengthened through providing technical assistance and capacity development services to the Ministry of Health of Ukraine and national stakeholders</w:t>
            </w:r>
          </w:p>
          <w:p w14:paraId="4BDBC248" w14:textId="0A0ACA2F" w:rsidR="00DC295E" w:rsidRDefault="00DC295E" w:rsidP="00930031">
            <w:pPr>
              <w:spacing w:after="0"/>
              <w:rPr>
                <w:b/>
              </w:rPr>
            </w:pPr>
          </w:p>
          <w:p w14:paraId="5AFB335B" w14:textId="067AE3F4" w:rsidR="00DC295E" w:rsidRDefault="00DC295E" w:rsidP="00930031">
            <w:pPr>
              <w:spacing w:after="0"/>
              <w:rPr>
                <w:b/>
              </w:rPr>
            </w:pPr>
            <w:r>
              <w:rPr>
                <w:b/>
              </w:rPr>
              <w:t>Gender marker: (GEN1)</w:t>
            </w:r>
          </w:p>
          <w:p w14:paraId="1F191F0F" w14:textId="77777777" w:rsidR="00DC295E" w:rsidRDefault="00DC295E" w:rsidP="005C5325">
            <w:pPr>
              <w:spacing w:after="0"/>
              <w:jc w:val="left"/>
            </w:pPr>
          </w:p>
          <w:p w14:paraId="6406539F" w14:textId="77777777" w:rsidR="00DC295E" w:rsidRDefault="00DC295E" w:rsidP="005C5325">
            <w:pPr>
              <w:spacing w:after="0"/>
              <w:jc w:val="left"/>
            </w:pPr>
          </w:p>
          <w:p w14:paraId="7C561458" w14:textId="77777777" w:rsidR="00DC295E" w:rsidRPr="00080D77" w:rsidRDefault="00DC295E" w:rsidP="005C5325">
            <w:pPr>
              <w:spacing w:after="0"/>
              <w:jc w:val="left"/>
              <w:rPr>
                <w:b/>
              </w:rPr>
            </w:pPr>
            <w:r w:rsidRPr="00080D77">
              <w:rPr>
                <w:b/>
              </w:rPr>
              <w:t>Indicators:</w:t>
            </w:r>
          </w:p>
          <w:p w14:paraId="4356C420" w14:textId="77777777" w:rsidR="00DC295E" w:rsidRDefault="00DC295E" w:rsidP="005C5325">
            <w:pPr>
              <w:spacing w:after="0"/>
              <w:jc w:val="left"/>
            </w:pPr>
          </w:p>
          <w:p w14:paraId="702F9ECC" w14:textId="77777777" w:rsidR="00DC295E" w:rsidRDefault="00DC295E" w:rsidP="009B1FAF">
            <w:pPr>
              <w:spacing w:after="0"/>
              <w:jc w:val="left"/>
            </w:pPr>
            <w:r>
              <w:t>1.The extent to which public procurement legislation enables efficient health goods procurement (1-Low; 2-very partially, 3- Partially; 4- Fully)</w:t>
            </w:r>
          </w:p>
          <w:p w14:paraId="6DEBDBFC" w14:textId="77777777" w:rsidR="00DC295E" w:rsidRDefault="00DC295E" w:rsidP="009B1FAF">
            <w:pPr>
              <w:spacing w:after="0"/>
              <w:jc w:val="left"/>
            </w:pPr>
          </w:p>
          <w:p w14:paraId="0C6357B3" w14:textId="77777777" w:rsidR="00DC295E" w:rsidRDefault="00DC295E" w:rsidP="009B1FAF">
            <w:pPr>
              <w:spacing w:after="0"/>
              <w:jc w:val="left"/>
            </w:pPr>
            <w:r>
              <w:t xml:space="preserve">2. Number of Ministry of Health employees and health managers </w:t>
            </w:r>
            <w:r>
              <w:lastRenderedPageBreak/>
              <w:t>who strengthened skills and capacities to implement public procurement in a transparent, accountable and effective manner (m/f). (Not cumulative)</w:t>
            </w:r>
          </w:p>
          <w:p w14:paraId="40621E50" w14:textId="77777777" w:rsidR="0050152F" w:rsidRDefault="0050152F" w:rsidP="009B1FAF">
            <w:pPr>
              <w:spacing w:after="0"/>
              <w:jc w:val="left"/>
            </w:pPr>
          </w:p>
          <w:p w14:paraId="5A2818F6" w14:textId="7593C10E" w:rsidR="00DC295E" w:rsidRDefault="00DC295E" w:rsidP="009B1FAF">
            <w:pPr>
              <w:spacing w:after="0"/>
              <w:jc w:val="left"/>
            </w:pPr>
            <w:r>
              <w:t>3.The extent to which Central Procurement Agency have capacity to procure medicines and medical products in a transparent, accountable and effective manner (scale from 0 to 4)</w:t>
            </w:r>
          </w:p>
          <w:p w14:paraId="4F527247" w14:textId="77777777" w:rsidR="00DC295E" w:rsidRDefault="00DC295E" w:rsidP="009B1FAF">
            <w:pPr>
              <w:spacing w:after="0"/>
              <w:jc w:val="left"/>
            </w:pPr>
          </w:p>
          <w:p w14:paraId="79BE8C3B" w14:textId="5E966E1F" w:rsidR="00DC295E" w:rsidRDefault="0050152F" w:rsidP="009B1FAF">
            <w:pPr>
              <w:spacing w:after="0"/>
              <w:jc w:val="left"/>
            </w:pPr>
            <w:r>
              <w:t>4</w:t>
            </w:r>
            <w:r w:rsidR="00DC295E">
              <w:t xml:space="preserve">. The extent to which the digital stock management platform </w:t>
            </w:r>
            <w:proofErr w:type="spellStart"/>
            <w:r w:rsidR="00DC295E">
              <w:t>Estock</w:t>
            </w:r>
            <w:proofErr w:type="spellEnd"/>
            <w:r w:rsidR="00DC295E">
              <w:t xml:space="preserve"> is fully functioning (scale from 0 to 4)</w:t>
            </w:r>
          </w:p>
          <w:p w14:paraId="5A0AFA35" w14:textId="77777777" w:rsidR="00DC295E" w:rsidRDefault="00DC295E" w:rsidP="009B1FAF">
            <w:pPr>
              <w:spacing w:after="0"/>
              <w:jc w:val="left"/>
            </w:pPr>
          </w:p>
          <w:p w14:paraId="722DACD3" w14:textId="6F83ED83" w:rsidR="00DC295E" w:rsidRDefault="0050152F" w:rsidP="009B1FAF">
            <w:pPr>
              <w:spacing w:after="0"/>
              <w:jc w:val="left"/>
            </w:pPr>
            <w:r>
              <w:t>5</w:t>
            </w:r>
            <w:r w:rsidR="00DC295E">
              <w:t xml:space="preserve">. Number of developed action plans for cities to deliver a comprehensive human rights-based response to </w:t>
            </w:r>
            <w:r w:rsidR="00DC295E">
              <w:lastRenderedPageBreak/>
              <w:t>the ongoing HIV and TB epidemics in Ukraine</w:t>
            </w:r>
          </w:p>
          <w:p w14:paraId="671166E9" w14:textId="77777777" w:rsidR="00DC295E" w:rsidRDefault="00DC295E" w:rsidP="005C5325">
            <w:pPr>
              <w:spacing w:after="0"/>
              <w:jc w:val="left"/>
            </w:pPr>
          </w:p>
          <w:p w14:paraId="6A715091" w14:textId="0428E832" w:rsidR="00DC295E" w:rsidRPr="00080D77" w:rsidRDefault="00DC295E" w:rsidP="005C5325">
            <w:pPr>
              <w:spacing w:after="0"/>
              <w:jc w:val="left"/>
              <w:rPr>
                <w:b/>
              </w:rPr>
            </w:pPr>
            <w:r w:rsidRPr="00080D77">
              <w:rPr>
                <w:b/>
              </w:rPr>
              <w:t>Baseline (2015):</w:t>
            </w:r>
          </w:p>
          <w:p w14:paraId="0C440E21" w14:textId="5C98CF12" w:rsidR="00DC295E" w:rsidRPr="00E8067D" w:rsidRDefault="00DC295E" w:rsidP="00E8067D">
            <w:pPr>
              <w:spacing w:after="0"/>
              <w:jc w:val="left"/>
            </w:pPr>
            <w:r>
              <w:t xml:space="preserve">1. </w:t>
            </w:r>
            <w:r w:rsidRPr="00E8067D">
              <w:t>1</w:t>
            </w:r>
          </w:p>
          <w:p w14:paraId="29DECC8D" w14:textId="65324EBC" w:rsidR="00DC295E" w:rsidRDefault="00DC295E" w:rsidP="00D53055">
            <w:pPr>
              <w:spacing w:after="0"/>
              <w:jc w:val="left"/>
            </w:pPr>
            <w:r>
              <w:t>2. 0</w:t>
            </w:r>
          </w:p>
          <w:p w14:paraId="6359F86A" w14:textId="226CE07F" w:rsidR="00DC295E" w:rsidRDefault="00DC295E" w:rsidP="00D53055">
            <w:pPr>
              <w:spacing w:after="0"/>
              <w:jc w:val="left"/>
            </w:pPr>
            <w:r>
              <w:t>3. 0</w:t>
            </w:r>
          </w:p>
          <w:p w14:paraId="26380BFC" w14:textId="10C285D0" w:rsidR="00DC295E" w:rsidRDefault="0050152F" w:rsidP="00D53055">
            <w:pPr>
              <w:spacing w:after="0"/>
              <w:jc w:val="left"/>
            </w:pPr>
            <w:r>
              <w:t>4</w:t>
            </w:r>
            <w:r w:rsidR="00DC295E">
              <w:t>. 0</w:t>
            </w:r>
          </w:p>
          <w:p w14:paraId="4F307CD7" w14:textId="7EAA4E4A" w:rsidR="00DC295E" w:rsidRDefault="0050152F" w:rsidP="00D53055">
            <w:pPr>
              <w:spacing w:after="0"/>
              <w:jc w:val="left"/>
            </w:pPr>
            <w:r>
              <w:t>5</w:t>
            </w:r>
            <w:r w:rsidR="00DC295E">
              <w:t>. 0</w:t>
            </w:r>
          </w:p>
          <w:p w14:paraId="3E536932" w14:textId="77777777" w:rsidR="00DC295E" w:rsidRDefault="00DC295E" w:rsidP="00D53055">
            <w:pPr>
              <w:spacing w:after="0"/>
              <w:jc w:val="left"/>
            </w:pPr>
          </w:p>
          <w:p w14:paraId="27240352" w14:textId="77777777" w:rsidR="00DC295E" w:rsidRPr="00080D77" w:rsidRDefault="00DC295E" w:rsidP="00D53055">
            <w:pPr>
              <w:spacing w:after="0"/>
              <w:jc w:val="left"/>
              <w:rPr>
                <w:b/>
              </w:rPr>
            </w:pPr>
            <w:r w:rsidRPr="00080D77">
              <w:rPr>
                <w:b/>
              </w:rPr>
              <w:t>Target 2019:</w:t>
            </w:r>
          </w:p>
          <w:p w14:paraId="255BCC66" w14:textId="4554ADB5" w:rsidR="00DC295E" w:rsidRPr="00E8067D" w:rsidRDefault="00DC295E" w:rsidP="00E8067D">
            <w:pPr>
              <w:spacing w:after="0"/>
              <w:jc w:val="left"/>
            </w:pPr>
            <w:r>
              <w:t xml:space="preserve">1. </w:t>
            </w:r>
            <w:r w:rsidRPr="00E8067D">
              <w:t>4</w:t>
            </w:r>
          </w:p>
          <w:p w14:paraId="4DBD1F20" w14:textId="51AC7E50" w:rsidR="00DC295E" w:rsidRDefault="00DC295E" w:rsidP="00E8067D">
            <w:pPr>
              <w:spacing w:after="0"/>
              <w:jc w:val="left"/>
            </w:pPr>
            <w:r>
              <w:t>2. 110</w:t>
            </w:r>
          </w:p>
          <w:p w14:paraId="6B5FDFB2" w14:textId="59C537CA" w:rsidR="00DC295E" w:rsidRDefault="00DC295E" w:rsidP="00E8067D">
            <w:pPr>
              <w:spacing w:after="0"/>
              <w:jc w:val="left"/>
            </w:pPr>
            <w:r>
              <w:t>3. 3</w:t>
            </w:r>
          </w:p>
          <w:p w14:paraId="08E0F613" w14:textId="3A583183" w:rsidR="00DC295E" w:rsidRDefault="0050152F" w:rsidP="00E8067D">
            <w:pPr>
              <w:spacing w:after="0"/>
              <w:jc w:val="left"/>
            </w:pPr>
            <w:r>
              <w:t>4</w:t>
            </w:r>
            <w:r w:rsidR="00DC295E">
              <w:t>. 3</w:t>
            </w:r>
          </w:p>
          <w:p w14:paraId="037F14DC" w14:textId="6A7098EA" w:rsidR="00DC295E" w:rsidRDefault="0050152F" w:rsidP="00E8067D">
            <w:pPr>
              <w:spacing w:after="0"/>
              <w:jc w:val="left"/>
            </w:pPr>
            <w:r>
              <w:t>5</w:t>
            </w:r>
            <w:r w:rsidR="00DC295E">
              <w:t xml:space="preserve">. </w:t>
            </w:r>
            <w:r>
              <w:t>50</w:t>
            </w:r>
          </w:p>
        </w:tc>
        <w:tc>
          <w:tcPr>
            <w:tcW w:w="4232" w:type="dxa"/>
            <w:gridSpan w:val="2"/>
            <w:shd w:val="clear" w:color="auto" w:fill="FFFFFF"/>
          </w:tcPr>
          <w:p w14:paraId="3D4FFB76" w14:textId="77777777" w:rsidR="00DC295E" w:rsidRPr="009F2AEE" w:rsidRDefault="00DC295E" w:rsidP="000344A5">
            <w:p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  <w:r w:rsidRPr="005C5325">
              <w:rPr>
                <w:b/>
              </w:rPr>
              <w:lastRenderedPageBreak/>
              <w:t xml:space="preserve">Activity 2.1.  Support to the Ministry of Health in development and implementation of the public procurement reform in the healthcare sector </w:t>
            </w:r>
          </w:p>
          <w:p w14:paraId="406EB8E8" w14:textId="77777777" w:rsidR="00DC295E" w:rsidRDefault="00DC295E" w:rsidP="000344A5">
            <w:pPr>
              <w:tabs>
                <w:tab w:val="center" w:pos="4819"/>
                <w:tab w:val="right" w:pos="9639"/>
              </w:tabs>
              <w:spacing w:after="0"/>
              <w:ind w:left="720"/>
              <w:contextualSpacing/>
              <w:jc w:val="left"/>
            </w:pPr>
          </w:p>
          <w:p w14:paraId="3BE85D13" w14:textId="75BC39D2" w:rsidR="00DC295E" w:rsidRDefault="00DC295E" w:rsidP="00E26EC1">
            <w:pPr>
              <w:numPr>
                <w:ilvl w:val="0"/>
                <w:numId w:val="33"/>
              </w:numPr>
              <w:tabs>
                <w:tab w:val="center" w:pos="4819"/>
                <w:tab w:val="right" w:pos="9639"/>
              </w:tabs>
              <w:spacing w:after="0"/>
              <w:contextualSpacing/>
            </w:pPr>
            <w:r>
              <w:t>Sub-activity 2.1.1. Provide technical assistance to the Ministry of Health in strengthening the Medical Central Procurement Agency (MCPA) (increased job expertise, CIPS procurement certification, workshops, sustainable criteria, etc.);</w:t>
            </w:r>
          </w:p>
          <w:p w14:paraId="7C55DA7B" w14:textId="00BCF17F" w:rsidR="00DC295E" w:rsidRDefault="00DC295E" w:rsidP="00DE38A6">
            <w:pPr>
              <w:numPr>
                <w:ilvl w:val="0"/>
                <w:numId w:val="33"/>
              </w:numPr>
              <w:tabs>
                <w:tab w:val="center" w:pos="4819"/>
                <w:tab w:val="right" w:pos="9639"/>
              </w:tabs>
              <w:spacing w:after="0"/>
              <w:contextualSpacing/>
            </w:pPr>
            <w:r w:rsidRPr="00E612D7">
              <w:t>Sub-activity</w:t>
            </w:r>
            <w:r>
              <w:t xml:space="preserve"> </w:t>
            </w:r>
            <w:r w:rsidRPr="00E612D7">
              <w:t>2.1.</w:t>
            </w:r>
            <w:r>
              <w:t>2</w:t>
            </w:r>
            <w:r w:rsidRPr="00DE38A6">
              <w:t xml:space="preserve"> Conduct needs assessment on training needs among medical establishments with the </w:t>
            </w:r>
            <w:proofErr w:type="spellStart"/>
            <w:r w:rsidRPr="00DE38A6">
              <w:t>MoH</w:t>
            </w:r>
            <w:proofErr w:type="spellEnd"/>
            <w:r w:rsidRPr="00DE38A6">
              <w:t xml:space="preserve"> to better inform the UNDP capacity building activities</w:t>
            </w:r>
          </w:p>
          <w:p w14:paraId="19758BF8" w14:textId="7F3FA4ED" w:rsidR="00DC295E" w:rsidRPr="00DE38A6" w:rsidRDefault="00DC295E" w:rsidP="00DE38A6">
            <w:pPr>
              <w:numPr>
                <w:ilvl w:val="0"/>
                <w:numId w:val="33"/>
              </w:numPr>
              <w:tabs>
                <w:tab w:val="center" w:pos="4819"/>
                <w:tab w:val="right" w:pos="9639"/>
              </w:tabs>
              <w:spacing w:after="0"/>
              <w:contextualSpacing/>
            </w:pPr>
            <w:r w:rsidRPr="00DE38A6">
              <w:t>Sub-activity 2.1.</w:t>
            </w:r>
            <w:r>
              <w:t>3</w:t>
            </w:r>
            <w:r w:rsidRPr="00DE38A6">
              <w:t xml:space="preserve"> Conduct capacity </w:t>
            </w:r>
            <w:r>
              <w:t>building</w:t>
            </w:r>
            <w:r w:rsidRPr="00DE38A6">
              <w:t xml:space="preserve"> events</w:t>
            </w:r>
            <w:r>
              <w:t xml:space="preserve"> (</w:t>
            </w:r>
            <w:r w:rsidRPr="00F26EA4">
              <w:t>workshops and public events on anti-corruption</w:t>
            </w:r>
            <w:r>
              <w:t xml:space="preserve"> and</w:t>
            </w:r>
            <w:r w:rsidRPr="00F26EA4">
              <w:t xml:space="preserve"> transparency</w:t>
            </w:r>
            <w:r>
              <w:t>)</w:t>
            </w:r>
            <w:r w:rsidRPr="00DE38A6">
              <w:t xml:space="preserve"> for national and local stakeholders on health reform;</w:t>
            </w:r>
          </w:p>
          <w:p w14:paraId="5CD4A043" w14:textId="59ACCE0F" w:rsidR="00DC295E" w:rsidRDefault="00DC295E" w:rsidP="000B6A27">
            <w:pPr>
              <w:numPr>
                <w:ilvl w:val="0"/>
                <w:numId w:val="33"/>
              </w:numPr>
              <w:tabs>
                <w:tab w:val="center" w:pos="4819"/>
                <w:tab w:val="right" w:pos="9639"/>
              </w:tabs>
              <w:spacing w:after="0"/>
              <w:contextualSpacing/>
              <w:jc w:val="left"/>
            </w:pPr>
            <w:r>
              <w:t xml:space="preserve">Sub-activity 2.1.4. </w:t>
            </w:r>
            <w:r w:rsidRPr="00E26EC1">
              <w:t>Provide international and national expertise to the public health procurement process</w:t>
            </w:r>
            <w:r>
              <w:t xml:space="preserve"> for ensuring its transparency, efficiency and accountability</w:t>
            </w:r>
            <w:r>
              <w:rPr>
                <w:lang w:val="uk-UA"/>
              </w:rPr>
              <w:t xml:space="preserve"> </w:t>
            </w:r>
            <w:r w:rsidRPr="0063173F">
              <w:rPr>
                <w:lang w:val="en-US"/>
              </w:rPr>
              <w:t>(</w:t>
            </w:r>
            <w:r>
              <w:rPr>
                <w:lang w:val="en-US"/>
              </w:rPr>
              <w:t>through i</w:t>
            </w:r>
            <w:r w:rsidRPr="00F26EA4">
              <w:rPr>
                <w:lang w:val="en-US"/>
              </w:rPr>
              <w:t>ntroduc</w:t>
            </w:r>
            <w:r>
              <w:rPr>
                <w:lang w:val="en-US"/>
              </w:rPr>
              <w:t>tion of</w:t>
            </w:r>
            <w:r w:rsidRPr="00F26EA4">
              <w:rPr>
                <w:lang w:val="en-US"/>
              </w:rPr>
              <w:t xml:space="preserve"> the best international practices </w:t>
            </w:r>
            <w:r>
              <w:rPr>
                <w:lang w:val="en-US"/>
              </w:rPr>
              <w:t>for</w:t>
            </w:r>
            <w:r w:rsidRPr="00F26EA4">
              <w:rPr>
                <w:lang w:val="en-US"/>
              </w:rPr>
              <w:t xml:space="preserve"> select</w:t>
            </w:r>
            <w:r>
              <w:rPr>
                <w:lang w:val="en-US"/>
              </w:rPr>
              <w:t>ion</w:t>
            </w:r>
            <w:r w:rsidRPr="00F26EA4">
              <w:rPr>
                <w:lang w:val="en-US"/>
              </w:rPr>
              <w:t xml:space="preserve"> and manage</w:t>
            </w:r>
            <w:r>
              <w:rPr>
                <w:lang w:val="en-US"/>
              </w:rPr>
              <w:t>ment of the</w:t>
            </w:r>
            <w:r w:rsidRPr="00F26EA4">
              <w:rPr>
                <w:lang w:val="en-US"/>
              </w:rPr>
              <w:t xml:space="preserve"> essential medicines, medical devices</w:t>
            </w:r>
            <w:r>
              <w:rPr>
                <w:lang w:val="en-US"/>
              </w:rPr>
              <w:t xml:space="preserve"> and providing </w:t>
            </w:r>
            <w:r w:rsidRPr="00F26EA4">
              <w:rPr>
                <w:lang w:val="en-US"/>
              </w:rPr>
              <w:t xml:space="preserve">advice on </w:t>
            </w:r>
            <w:r w:rsidRPr="00F26EA4">
              <w:rPr>
                <w:lang w:val="en-US"/>
              </w:rPr>
              <w:lastRenderedPageBreak/>
              <w:t>intellectual property rights and patent’s legislation</w:t>
            </w:r>
            <w:r>
              <w:rPr>
                <w:lang w:val="en-US"/>
              </w:rPr>
              <w:t>)</w:t>
            </w:r>
            <w:r>
              <w:t>;</w:t>
            </w:r>
          </w:p>
          <w:p w14:paraId="1B6E614F" w14:textId="2A237492" w:rsidR="00DC295E" w:rsidRDefault="00DC295E" w:rsidP="000344A5">
            <w:pPr>
              <w:numPr>
                <w:ilvl w:val="0"/>
                <w:numId w:val="33"/>
              </w:numPr>
              <w:tabs>
                <w:tab w:val="center" w:pos="4819"/>
                <w:tab w:val="right" w:pos="9639"/>
              </w:tabs>
              <w:spacing w:after="0"/>
              <w:contextualSpacing/>
            </w:pPr>
            <w:r>
              <w:t xml:space="preserve">Sub-activity 2.1.5. </w:t>
            </w:r>
            <w:r w:rsidRPr="00E26EC1">
              <w:t>Strengthen mechanisms for public control and monitoring of availability and accessibility of medicines for patients at local level</w:t>
            </w:r>
            <w:r>
              <w:t>;</w:t>
            </w:r>
          </w:p>
          <w:p w14:paraId="4B18E114" w14:textId="44B7048A" w:rsidR="00DC295E" w:rsidRPr="00500484" w:rsidRDefault="00DC295E" w:rsidP="00E26EC1">
            <w:pPr>
              <w:numPr>
                <w:ilvl w:val="0"/>
                <w:numId w:val="33"/>
              </w:numPr>
              <w:tabs>
                <w:tab w:val="center" w:pos="4819"/>
                <w:tab w:val="right" w:pos="9639"/>
              </w:tabs>
              <w:spacing w:after="0"/>
              <w:contextualSpacing/>
              <w:rPr>
                <w:color w:val="auto"/>
              </w:rPr>
            </w:pPr>
            <w:r w:rsidRPr="00500484">
              <w:rPr>
                <w:color w:val="auto"/>
              </w:rPr>
              <w:t>Sub-activity 2.1.6 Build capacity of the national stakeholders’ to effectively tackle autism spectrum disorder (ASD).</w:t>
            </w:r>
          </w:p>
          <w:p w14:paraId="71744CE1" w14:textId="122FB3FE" w:rsidR="00DC295E" w:rsidRPr="00D26A48" w:rsidRDefault="00DC295E" w:rsidP="00D26A48">
            <w:pPr>
              <w:tabs>
                <w:tab w:val="center" w:pos="4819"/>
                <w:tab w:val="right" w:pos="9639"/>
              </w:tabs>
              <w:spacing w:after="0"/>
              <w:ind w:left="360"/>
            </w:pPr>
          </w:p>
        </w:tc>
        <w:tc>
          <w:tcPr>
            <w:tcW w:w="557" w:type="dxa"/>
            <w:shd w:val="clear" w:color="auto" w:fill="auto"/>
          </w:tcPr>
          <w:p w14:paraId="15B64841" w14:textId="77777777" w:rsidR="00DC295E" w:rsidRDefault="00DC295E" w:rsidP="00930031">
            <w:pPr>
              <w:keepNext/>
              <w:spacing w:before="60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554" w:type="dxa"/>
            <w:shd w:val="clear" w:color="auto" w:fill="auto"/>
          </w:tcPr>
          <w:p w14:paraId="0CFEAA7A" w14:textId="77777777" w:rsidR="00DC295E" w:rsidRDefault="00DC295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20DEBB07" w14:textId="77777777" w:rsidR="00DC295E" w:rsidRDefault="00DC295E" w:rsidP="0093003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1BB9B192" w14:textId="77777777" w:rsidR="00DC295E" w:rsidRDefault="00DC295E" w:rsidP="0093003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3DDDE017" w14:textId="77777777" w:rsidR="00DC295E" w:rsidRDefault="00DC295E" w:rsidP="00930031">
            <w:pPr>
              <w:keepNext/>
              <w:spacing w:before="60"/>
              <w:jc w:val="left"/>
            </w:pPr>
            <w:r>
              <w:t xml:space="preserve">UNDP Ukraine, UNDP IRH, </w:t>
            </w:r>
          </w:p>
          <w:p w14:paraId="02D897F9" w14:textId="77777777" w:rsidR="00DC295E" w:rsidRDefault="00DC295E" w:rsidP="00930031">
            <w:pPr>
              <w:keepNext/>
              <w:spacing w:before="60"/>
              <w:jc w:val="left"/>
            </w:pPr>
            <w:r>
              <w:t>Ministry of Health, CSOs,</w:t>
            </w:r>
          </w:p>
          <w:p w14:paraId="03EAB916" w14:textId="36799B70" w:rsidR="00DC295E" w:rsidRDefault="00DC295E" w:rsidP="00930031">
            <w:pPr>
              <w:keepNext/>
              <w:spacing w:before="60"/>
              <w:jc w:val="left"/>
            </w:pPr>
            <w:r>
              <w:t>UBRAF</w:t>
            </w:r>
          </w:p>
        </w:tc>
        <w:tc>
          <w:tcPr>
            <w:tcW w:w="1080" w:type="dxa"/>
            <w:shd w:val="clear" w:color="auto" w:fill="auto"/>
          </w:tcPr>
          <w:p w14:paraId="5ECB3597" w14:textId="77777777" w:rsidR="00DC295E" w:rsidRDefault="00DC295E" w:rsidP="00930031">
            <w:pPr>
              <w:keepNext/>
              <w:spacing w:before="60"/>
              <w:jc w:val="center"/>
            </w:pPr>
          </w:p>
        </w:tc>
        <w:tc>
          <w:tcPr>
            <w:tcW w:w="2514" w:type="dxa"/>
            <w:shd w:val="clear" w:color="auto" w:fill="auto"/>
          </w:tcPr>
          <w:p w14:paraId="34D3CF54" w14:textId="53F5C77F" w:rsidR="00DC295E" w:rsidRDefault="00DC295E" w:rsidP="005F5AEE">
            <w:pPr>
              <w:tabs>
                <w:tab w:val="center" w:pos="4153"/>
                <w:tab w:val="right" w:pos="8306"/>
              </w:tabs>
              <w:spacing w:after="0" w:line="259" w:lineRule="auto"/>
              <w:jc w:val="center"/>
            </w:pPr>
            <w:r>
              <w:t>71200</w:t>
            </w:r>
          </w:p>
          <w:p w14:paraId="3CC58B74" w14:textId="16F3385E" w:rsidR="00DC295E" w:rsidRDefault="00DC295E" w:rsidP="005F5AEE">
            <w:pPr>
              <w:tabs>
                <w:tab w:val="center" w:pos="4153"/>
                <w:tab w:val="right" w:pos="8306"/>
              </w:tabs>
              <w:spacing w:after="0" w:line="259" w:lineRule="auto"/>
              <w:jc w:val="center"/>
            </w:pPr>
            <w:r>
              <w:t>(International Consultants)</w:t>
            </w:r>
          </w:p>
          <w:p w14:paraId="0183B4FD" w14:textId="77777777" w:rsidR="00DC295E" w:rsidRDefault="00DC295E" w:rsidP="005F5AEE">
            <w:pPr>
              <w:keepNext/>
              <w:spacing w:after="0" w:line="259" w:lineRule="auto"/>
              <w:jc w:val="center"/>
            </w:pPr>
          </w:p>
          <w:p w14:paraId="34C30B34" w14:textId="0BC630D7" w:rsidR="00DC295E" w:rsidRDefault="00DC295E" w:rsidP="005F5AEE">
            <w:pPr>
              <w:keepNext/>
              <w:spacing w:after="0" w:line="259" w:lineRule="auto"/>
              <w:jc w:val="center"/>
            </w:pPr>
            <w:r>
              <w:t>71300</w:t>
            </w:r>
          </w:p>
          <w:p w14:paraId="399193B2" w14:textId="77777777" w:rsidR="00DC295E" w:rsidRDefault="00DC295E" w:rsidP="005F5AEE">
            <w:pPr>
              <w:keepNext/>
              <w:spacing w:after="0" w:line="259" w:lineRule="auto"/>
              <w:jc w:val="center"/>
              <w:rPr>
                <w:b/>
              </w:rPr>
            </w:pPr>
            <w:r>
              <w:t>(Local consultants)</w:t>
            </w:r>
          </w:p>
          <w:p w14:paraId="20DBF5C9" w14:textId="77777777" w:rsidR="00DC295E" w:rsidRDefault="00DC295E" w:rsidP="005F5AEE">
            <w:pPr>
              <w:keepNext/>
              <w:spacing w:after="0" w:line="259" w:lineRule="auto"/>
              <w:jc w:val="center"/>
            </w:pPr>
          </w:p>
          <w:p w14:paraId="3170E135" w14:textId="77777777" w:rsidR="00DC295E" w:rsidRDefault="00DC295E" w:rsidP="005F5AEE">
            <w:pPr>
              <w:keepNext/>
              <w:spacing w:after="0" w:line="259" w:lineRule="auto"/>
              <w:jc w:val="center"/>
            </w:pPr>
            <w:r>
              <w:t>72100</w:t>
            </w:r>
          </w:p>
          <w:p w14:paraId="527C8924" w14:textId="77777777" w:rsidR="00DC295E" w:rsidRDefault="00DC295E" w:rsidP="005F5AEE">
            <w:pPr>
              <w:keepNext/>
              <w:spacing w:after="0" w:line="259" w:lineRule="auto"/>
              <w:jc w:val="center"/>
            </w:pPr>
            <w:r>
              <w:t>(Contractual Services Companies)</w:t>
            </w:r>
          </w:p>
          <w:p w14:paraId="0EA61095" w14:textId="77777777" w:rsidR="00DC295E" w:rsidRDefault="00DC295E" w:rsidP="005F5AEE">
            <w:pPr>
              <w:spacing w:before="60" w:after="0"/>
              <w:jc w:val="center"/>
            </w:pPr>
          </w:p>
          <w:p w14:paraId="13D6EA31" w14:textId="4D4C4E8B" w:rsidR="00DC295E" w:rsidRDefault="00DC295E" w:rsidP="005F5AEE">
            <w:pPr>
              <w:spacing w:before="60" w:after="0"/>
              <w:jc w:val="center"/>
            </w:pPr>
            <w:r>
              <w:t>75700</w:t>
            </w:r>
          </w:p>
          <w:p w14:paraId="36E306E9" w14:textId="77777777" w:rsidR="00DC295E" w:rsidRDefault="00DC295E" w:rsidP="005F5AEE">
            <w:pPr>
              <w:spacing w:before="60" w:after="0"/>
              <w:jc w:val="center"/>
            </w:pPr>
            <w:r>
              <w:t>(Training, Workshops and Conferences)</w:t>
            </w:r>
          </w:p>
          <w:p w14:paraId="3E8CD975" w14:textId="77777777" w:rsidR="00DC295E" w:rsidRDefault="00DC295E" w:rsidP="005F5AEE">
            <w:pPr>
              <w:spacing w:before="60" w:after="0"/>
              <w:jc w:val="center"/>
            </w:pPr>
          </w:p>
          <w:p w14:paraId="2C7F1969" w14:textId="3A27EA3B" w:rsidR="00DC295E" w:rsidRDefault="00DC295E" w:rsidP="005F5AEE">
            <w:pPr>
              <w:spacing w:before="60" w:after="0"/>
              <w:jc w:val="center"/>
            </w:pPr>
            <w:r>
              <w:t>74500</w:t>
            </w:r>
          </w:p>
          <w:p w14:paraId="22FE9675" w14:textId="2851A424" w:rsidR="00DC295E" w:rsidRDefault="00DC295E" w:rsidP="005F5AEE">
            <w:pPr>
              <w:spacing w:before="60" w:after="0"/>
              <w:jc w:val="center"/>
            </w:pPr>
            <w:r>
              <w:t>(Miscellaneous Expenses)</w:t>
            </w:r>
          </w:p>
          <w:p w14:paraId="1BDEBAA8" w14:textId="77777777" w:rsidR="00DC295E" w:rsidRDefault="00DC295E" w:rsidP="005F5AEE">
            <w:pPr>
              <w:keepNext/>
              <w:spacing w:line="259" w:lineRule="auto"/>
              <w:jc w:val="center"/>
            </w:pPr>
          </w:p>
          <w:p w14:paraId="6AFF6EEB" w14:textId="77777777" w:rsidR="00DC295E" w:rsidRDefault="00DC295E" w:rsidP="005F5AEE">
            <w:pPr>
              <w:keepNext/>
              <w:spacing w:line="259" w:lineRule="auto"/>
              <w:jc w:val="center"/>
            </w:pPr>
            <w:r>
              <w:t xml:space="preserve">71600 </w:t>
            </w:r>
          </w:p>
          <w:p w14:paraId="0E62C755" w14:textId="5F12B039" w:rsidR="00DC295E" w:rsidRPr="00793182" w:rsidRDefault="00DC295E" w:rsidP="005F5AEE">
            <w:pPr>
              <w:keepNext/>
              <w:spacing w:line="259" w:lineRule="auto"/>
              <w:jc w:val="center"/>
              <w:rPr>
                <w:b/>
                <w:color w:val="548DD4"/>
              </w:rPr>
            </w:pPr>
            <w:r>
              <w:t>(Travel)</w:t>
            </w:r>
          </w:p>
          <w:p w14:paraId="5EDDB54B" w14:textId="77777777" w:rsidR="00DC295E" w:rsidRPr="00D26A48" w:rsidRDefault="00DC295E" w:rsidP="005F5AEE">
            <w:pPr>
              <w:spacing w:after="0"/>
              <w:jc w:val="center"/>
              <w:rPr>
                <w:b/>
                <w:color w:val="auto"/>
              </w:rPr>
            </w:pPr>
          </w:p>
          <w:p w14:paraId="400C05FF" w14:textId="1961A8E4" w:rsidR="00DC295E" w:rsidRPr="00D26A48" w:rsidRDefault="00DC295E" w:rsidP="005F5AEE">
            <w:pPr>
              <w:spacing w:after="0"/>
              <w:jc w:val="center"/>
              <w:rPr>
                <w:color w:val="auto"/>
              </w:rPr>
            </w:pPr>
            <w:r w:rsidRPr="00D26A48">
              <w:rPr>
                <w:color w:val="auto"/>
              </w:rPr>
              <w:t>74220 (Translation Costs)</w:t>
            </w:r>
          </w:p>
          <w:p w14:paraId="76C7E47F" w14:textId="77777777" w:rsidR="00DC295E" w:rsidRPr="00D26A48" w:rsidRDefault="00DC295E" w:rsidP="005F5AEE">
            <w:pPr>
              <w:spacing w:after="0"/>
              <w:jc w:val="center"/>
              <w:rPr>
                <w:color w:val="auto"/>
              </w:rPr>
            </w:pPr>
          </w:p>
          <w:p w14:paraId="2D0C722D" w14:textId="77777777" w:rsidR="00DC295E" w:rsidRDefault="00DC295E" w:rsidP="005F5AEE">
            <w:pPr>
              <w:spacing w:after="0"/>
              <w:jc w:val="center"/>
              <w:rPr>
                <w:color w:val="auto"/>
              </w:rPr>
            </w:pPr>
            <w:r w:rsidRPr="00D26A48">
              <w:rPr>
                <w:color w:val="auto"/>
              </w:rPr>
              <w:t>74210 (Printing and Publications)</w:t>
            </w:r>
          </w:p>
          <w:p w14:paraId="12F2A025" w14:textId="77777777" w:rsidR="00DC295E" w:rsidRDefault="00DC295E" w:rsidP="005F5AEE">
            <w:pPr>
              <w:spacing w:after="0"/>
              <w:jc w:val="center"/>
              <w:rPr>
                <w:color w:val="auto"/>
              </w:rPr>
            </w:pPr>
          </w:p>
          <w:p w14:paraId="7E85B3EF" w14:textId="531620BC" w:rsidR="00DC295E" w:rsidRDefault="00DC295E" w:rsidP="005F5AEE">
            <w:pPr>
              <w:spacing w:after="0"/>
              <w:jc w:val="center"/>
              <w:rPr>
                <w:b/>
                <w:color w:val="548DD4"/>
              </w:rPr>
            </w:pPr>
            <w:r w:rsidRPr="004154FA">
              <w:rPr>
                <w:color w:val="auto"/>
              </w:rPr>
              <w:t>72605 (Grants)</w:t>
            </w:r>
          </w:p>
        </w:tc>
        <w:tc>
          <w:tcPr>
            <w:tcW w:w="1896" w:type="dxa"/>
            <w:vMerge w:val="restart"/>
            <w:shd w:val="clear" w:color="auto" w:fill="auto"/>
          </w:tcPr>
          <w:p w14:paraId="0B97810A" w14:textId="7993052B" w:rsidR="00DC295E" w:rsidRDefault="00DC295E" w:rsidP="00930031">
            <w:pPr>
              <w:rPr>
                <w:b/>
              </w:rPr>
            </w:pPr>
          </w:p>
          <w:p w14:paraId="2A0B1508" w14:textId="5EB8A3A9" w:rsidR="00DC295E" w:rsidRPr="00DC295E" w:rsidRDefault="00DC295E" w:rsidP="00DC295E">
            <w:pPr>
              <w:spacing w:after="0"/>
              <w:jc w:val="left"/>
            </w:pPr>
            <w:r>
              <w:t xml:space="preserve">$ </w:t>
            </w:r>
            <w:r w:rsidRPr="00DC295E">
              <w:t xml:space="preserve">1 </w:t>
            </w:r>
            <w:r w:rsidR="005E44FE">
              <w:t>803 545</w:t>
            </w:r>
          </w:p>
          <w:p w14:paraId="6A54D088" w14:textId="66BCD196" w:rsidR="00DC295E" w:rsidRDefault="00DC295E" w:rsidP="005F5AEE">
            <w:pPr>
              <w:keepNext/>
              <w:spacing w:before="60"/>
              <w:jc w:val="left"/>
              <w:rPr>
                <w:b/>
                <w:color w:val="548DD4"/>
              </w:rPr>
            </w:pPr>
          </w:p>
        </w:tc>
      </w:tr>
      <w:tr w:rsidR="00DC295E" w14:paraId="7C237623" w14:textId="77777777" w:rsidTr="00D06432">
        <w:trPr>
          <w:trHeight w:val="526"/>
        </w:trPr>
        <w:tc>
          <w:tcPr>
            <w:tcW w:w="2160" w:type="dxa"/>
            <w:vMerge/>
            <w:shd w:val="clear" w:color="auto" w:fill="auto"/>
          </w:tcPr>
          <w:p w14:paraId="32A9D82D" w14:textId="4A4AE680" w:rsidR="00DC295E" w:rsidRDefault="00DC295E" w:rsidP="00930031">
            <w:pPr>
              <w:tabs>
                <w:tab w:val="center" w:pos="4819"/>
                <w:tab w:val="right" w:pos="9639"/>
              </w:tabs>
              <w:spacing w:before="60" w:after="0"/>
              <w:jc w:val="left"/>
              <w:rPr>
                <w:b/>
              </w:rPr>
            </w:pPr>
          </w:p>
        </w:tc>
        <w:tc>
          <w:tcPr>
            <w:tcW w:w="4232" w:type="dxa"/>
            <w:gridSpan w:val="2"/>
            <w:shd w:val="clear" w:color="auto" w:fill="auto"/>
          </w:tcPr>
          <w:p w14:paraId="07CDEDB9" w14:textId="0DF62CD3" w:rsidR="00DC295E" w:rsidRDefault="00DC295E" w:rsidP="00FA200F">
            <w:p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  <w:r w:rsidRPr="00FA200F">
              <w:rPr>
                <w:b/>
              </w:rPr>
              <w:t xml:space="preserve">Activity 2.2. Promote sustainability </w:t>
            </w:r>
            <w:r>
              <w:rPr>
                <w:b/>
              </w:rPr>
              <w:t xml:space="preserve">health </w:t>
            </w:r>
            <w:r w:rsidRPr="00FA200F">
              <w:rPr>
                <w:b/>
              </w:rPr>
              <w:t xml:space="preserve">in </w:t>
            </w:r>
            <w:r>
              <w:rPr>
                <w:b/>
              </w:rPr>
              <w:t>public procurement.</w:t>
            </w:r>
            <w:r w:rsidRPr="00FA200F">
              <w:rPr>
                <w:b/>
              </w:rPr>
              <w:t xml:space="preserve"> </w:t>
            </w:r>
          </w:p>
          <w:p w14:paraId="4AFEE475" w14:textId="77777777" w:rsidR="00DC295E" w:rsidRDefault="00DC295E" w:rsidP="00FA200F">
            <w:p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</w:p>
          <w:p w14:paraId="7BDB1364" w14:textId="3B3641FA" w:rsidR="00DC295E" w:rsidRDefault="00DC295E" w:rsidP="009B6F8F">
            <w:pPr>
              <w:pStyle w:val="ListParagraph"/>
              <w:numPr>
                <w:ilvl w:val="0"/>
                <w:numId w:val="36"/>
              </w:numPr>
              <w:tabs>
                <w:tab w:val="center" w:pos="4819"/>
                <w:tab w:val="right" w:pos="9639"/>
              </w:tabs>
              <w:spacing w:after="0"/>
              <w:jc w:val="left"/>
            </w:pPr>
            <w:r w:rsidRPr="00FA200F">
              <w:t>Sub</w:t>
            </w:r>
            <w:r>
              <w:t>-</w:t>
            </w:r>
            <w:r w:rsidRPr="00FA200F">
              <w:t xml:space="preserve">activity 2.2.1 </w:t>
            </w:r>
            <w:r>
              <w:t>C</w:t>
            </w:r>
            <w:r w:rsidRPr="006F1AB9">
              <w:t>onduct a</w:t>
            </w:r>
            <w:r>
              <w:t>nd present a</w:t>
            </w:r>
            <w:r w:rsidRPr="006F1AB9">
              <w:t xml:space="preserve"> case study </w:t>
            </w:r>
            <w:r>
              <w:t xml:space="preserve">report </w:t>
            </w:r>
            <w:r w:rsidRPr="006F1AB9">
              <w:t>of the sustainable production practices of local manufacturers and suppliers</w:t>
            </w:r>
            <w:r>
              <w:t xml:space="preserve"> for</w:t>
            </w:r>
            <w:r w:rsidRPr="006F1AB9">
              <w:t xml:space="preserve"> promot</w:t>
            </w:r>
            <w:r>
              <w:t>ing</w:t>
            </w:r>
            <w:r w:rsidRPr="006F1AB9">
              <w:t xml:space="preserve"> the adoption of sustainable practices by manufacturers and suppliers</w:t>
            </w:r>
            <w:r>
              <w:t xml:space="preserve"> in Ukraine;</w:t>
            </w:r>
          </w:p>
          <w:p w14:paraId="0524E597" w14:textId="2B8DE2DF" w:rsidR="00DC295E" w:rsidRPr="00FA200F" w:rsidRDefault="00DC295E" w:rsidP="006F1AB9">
            <w:pPr>
              <w:pStyle w:val="ListParagraph"/>
              <w:numPr>
                <w:ilvl w:val="0"/>
                <w:numId w:val="36"/>
              </w:num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  <w:r w:rsidRPr="00FA200F">
              <w:t xml:space="preserve">Sub-activity 2.2.2 </w:t>
            </w:r>
            <w:r w:rsidRPr="006F1AB9">
              <w:t>Conduct a situational assessment of the waste management practices in hospitals</w:t>
            </w:r>
            <w:r>
              <w:t xml:space="preserve"> and present the report for national stakeholders;</w:t>
            </w:r>
          </w:p>
          <w:p w14:paraId="44451596" w14:textId="77777777" w:rsidR="00DC295E" w:rsidRPr="00D26A48" w:rsidRDefault="00DC295E" w:rsidP="00D26A48">
            <w:pPr>
              <w:pStyle w:val="ListParagraph"/>
              <w:numPr>
                <w:ilvl w:val="0"/>
                <w:numId w:val="40"/>
              </w:numPr>
              <w:rPr>
                <w:color w:val="auto"/>
              </w:rPr>
            </w:pPr>
            <w:r w:rsidRPr="00D26A48">
              <w:rPr>
                <w:color w:val="auto"/>
              </w:rPr>
              <w:t xml:space="preserve">Sub-activity 2.2.3 Ensure </w:t>
            </w:r>
            <w:proofErr w:type="spellStart"/>
            <w:r w:rsidRPr="00D26A48">
              <w:rPr>
                <w:color w:val="auto"/>
              </w:rPr>
              <w:t>MoH</w:t>
            </w:r>
            <w:proofErr w:type="spellEnd"/>
            <w:r w:rsidRPr="00D26A48">
              <w:rPr>
                <w:color w:val="auto"/>
              </w:rPr>
              <w:t xml:space="preserve"> and CPA's implementation of sustainable procurement criteria through e-catalogues and framework agreements</w:t>
            </w:r>
          </w:p>
          <w:p w14:paraId="0CAC52E1" w14:textId="77777777" w:rsidR="00DC295E" w:rsidRPr="00D26A48" w:rsidRDefault="00DC295E" w:rsidP="00FA200F">
            <w:pPr>
              <w:pStyle w:val="ListParagraph"/>
              <w:numPr>
                <w:ilvl w:val="0"/>
                <w:numId w:val="36"/>
              </w:num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  <w:r>
              <w:t xml:space="preserve">Sub-activity 2.2.4. Conduct sustainability survey among medicines suppliers and manufacturers to contribute to </w:t>
            </w:r>
            <w:r>
              <w:lastRenderedPageBreak/>
              <w:t>the development of a Sustainability Procurement Index of Health.</w:t>
            </w:r>
          </w:p>
          <w:p w14:paraId="0D0542FA" w14:textId="4D06158F" w:rsidR="00DC295E" w:rsidRDefault="00DC295E" w:rsidP="00FA200F">
            <w:pPr>
              <w:pStyle w:val="ListParagraph"/>
              <w:numPr>
                <w:ilvl w:val="0"/>
                <w:numId w:val="36"/>
              </w:num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  <w:r>
              <w:t>Sub-activity 2.2.5 Strengthen capacity of the national stakeholders through providing international expertise and presenting the best practices on sustainable procurement</w:t>
            </w:r>
          </w:p>
        </w:tc>
        <w:tc>
          <w:tcPr>
            <w:tcW w:w="557" w:type="dxa"/>
            <w:shd w:val="clear" w:color="auto" w:fill="auto"/>
          </w:tcPr>
          <w:p w14:paraId="1DE731B6" w14:textId="7166C68C" w:rsidR="00DC295E" w:rsidRDefault="00DC295E" w:rsidP="00930031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554" w:type="dxa"/>
            <w:shd w:val="clear" w:color="auto" w:fill="auto"/>
          </w:tcPr>
          <w:p w14:paraId="496ADDA2" w14:textId="25C819B7" w:rsidR="00DC295E" w:rsidRDefault="00DC295E" w:rsidP="00930031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23C56F20" w14:textId="7D929743" w:rsidR="00DC295E" w:rsidRDefault="00DC295E" w:rsidP="0093003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7BC1D714" w14:textId="77777777" w:rsidR="00DC295E" w:rsidRDefault="00DC295E" w:rsidP="00FA200F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  <w:p w14:paraId="35DAC2FC" w14:textId="77777777" w:rsidR="00DC295E" w:rsidRDefault="00DC295E" w:rsidP="00930031">
            <w:pPr>
              <w:keepNext/>
              <w:rPr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247715D0" w14:textId="77777777" w:rsidR="00DC295E" w:rsidRDefault="00DC295E" w:rsidP="00930031">
            <w:pPr>
              <w:keepNext/>
              <w:jc w:val="left"/>
            </w:pPr>
          </w:p>
        </w:tc>
        <w:tc>
          <w:tcPr>
            <w:tcW w:w="1080" w:type="dxa"/>
            <w:shd w:val="clear" w:color="auto" w:fill="auto"/>
          </w:tcPr>
          <w:p w14:paraId="39B050E7" w14:textId="7E2E50ED" w:rsidR="00DC295E" w:rsidRDefault="00DC295E" w:rsidP="00930031">
            <w:pPr>
              <w:keepNext/>
              <w:spacing w:before="60"/>
            </w:pPr>
            <w:r>
              <w:t>SHIPP</w:t>
            </w:r>
          </w:p>
        </w:tc>
        <w:tc>
          <w:tcPr>
            <w:tcW w:w="2514" w:type="dxa"/>
            <w:shd w:val="clear" w:color="auto" w:fill="auto"/>
          </w:tcPr>
          <w:p w14:paraId="51E38BD5" w14:textId="0B957794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71200</w:t>
            </w:r>
          </w:p>
          <w:p w14:paraId="21784E69" w14:textId="0019223D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(International Consultants)</w:t>
            </w:r>
          </w:p>
          <w:p w14:paraId="1F64D86E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</w:p>
          <w:p w14:paraId="3F23698D" w14:textId="77777777" w:rsidR="00DC295E" w:rsidRDefault="00DC295E" w:rsidP="00334981">
            <w:pPr>
              <w:keepNext/>
              <w:spacing w:after="0" w:line="259" w:lineRule="auto"/>
              <w:jc w:val="center"/>
            </w:pPr>
            <w:r>
              <w:t>72100</w:t>
            </w:r>
          </w:p>
          <w:p w14:paraId="4C95145F" w14:textId="77777777" w:rsidR="00DC295E" w:rsidRDefault="00DC295E" w:rsidP="00334981">
            <w:pPr>
              <w:keepNext/>
              <w:spacing w:after="0" w:line="259" w:lineRule="auto"/>
              <w:jc w:val="center"/>
            </w:pPr>
            <w:r>
              <w:t>(Contractual Services Companies)</w:t>
            </w:r>
          </w:p>
          <w:p w14:paraId="3F68F29A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</w:p>
          <w:p w14:paraId="782C3B8F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71600</w:t>
            </w:r>
          </w:p>
          <w:p w14:paraId="382FC820" w14:textId="5B80D305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 xml:space="preserve"> (Travel)</w:t>
            </w:r>
          </w:p>
          <w:p w14:paraId="1C1D46B9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</w:p>
          <w:p w14:paraId="2A2EEB8B" w14:textId="5A3FC54C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71300</w:t>
            </w:r>
          </w:p>
          <w:p w14:paraId="230BAADB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(Local consultants)</w:t>
            </w:r>
          </w:p>
          <w:p w14:paraId="00D27C49" w14:textId="10E7DDD4" w:rsidR="00DC295E" w:rsidRDefault="00DC295E" w:rsidP="005F5AEE">
            <w:pPr>
              <w:widowControl w:val="0"/>
              <w:spacing w:after="0" w:line="276" w:lineRule="auto"/>
              <w:jc w:val="center"/>
            </w:pPr>
          </w:p>
          <w:p w14:paraId="3C1C7447" w14:textId="6C3E4594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71500 (UNV)</w:t>
            </w:r>
          </w:p>
        </w:tc>
        <w:tc>
          <w:tcPr>
            <w:tcW w:w="1896" w:type="dxa"/>
            <w:vMerge/>
            <w:shd w:val="clear" w:color="auto" w:fill="auto"/>
          </w:tcPr>
          <w:p w14:paraId="702FFDAB" w14:textId="3E7AE10D" w:rsidR="00DC295E" w:rsidRDefault="00DC295E" w:rsidP="005F5AEE">
            <w:pPr>
              <w:keepNext/>
              <w:spacing w:before="60"/>
              <w:jc w:val="left"/>
              <w:rPr>
                <w:color w:val="FF0000"/>
              </w:rPr>
            </w:pPr>
          </w:p>
        </w:tc>
      </w:tr>
      <w:tr w:rsidR="00DC295E" w14:paraId="2C96691C" w14:textId="77777777" w:rsidTr="00D06432">
        <w:trPr>
          <w:trHeight w:val="526"/>
        </w:trPr>
        <w:tc>
          <w:tcPr>
            <w:tcW w:w="2160" w:type="dxa"/>
            <w:vMerge/>
            <w:shd w:val="clear" w:color="auto" w:fill="auto"/>
          </w:tcPr>
          <w:p w14:paraId="53C38DE7" w14:textId="77777777" w:rsidR="00DC295E" w:rsidRDefault="00DC295E" w:rsidP="005F5AEE">
            <w:pPr>
              <w:tabs>
                <w:tab w:val="center" w:pos="4819"/>
                <w:tab w:val="right" w:pos="9639"/>
              </w:tabs>
              <w:spacing w:before="60" w:after="0"/>
              <w:jc w:val="left"/>
              <w:rPr>
                <w:b/>
              </w:rPr>
            </w:pPr>
          </w:p>
        </w:tc>
        <w:tc>
          <w:tcPr>
            <w:tcW w:w="4232" w:type="dxa"/>
            <w:gridSpan w:val="2"/>
            <w:shd w:val="clear" w:color="auto" w:fill="auto"/>
          </w:tcPr>
          <w:p w14:paraId="2DD0ADBF" w14:textId="44D372C1" w:rsidR="00DC295E" w:rsidRDefault="00DC295E" w:rsidP="005F5AEE">
            <w:p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  <w:r w:rsidRPr="00FA200F">
              <w:rPr>
                <w:b/>
              </w:rPr>
              <w:t>Activity 2.3. Support the development and introduction of innovative digital technologies</w:t>
            </w:r>
            <w:r>
              <w:rPr>
                <w:b/>
              </w:rPr>
              <w:t xml:space="preserve"> in health procurement</w:t>
            </w:r>
            <w:r w:rsidRPr="00FA200F">
              <w:rPr>
                <w:b/>
              </w:rPr>
              <w:t>:</w:t>
            </w:r>
          </w:p>
          <w:p w14:paraId="27019EAA" w14:textId="77777777" w:rsidR="00DC295E" w:rsidRPr="00FA200F" w:rsidRDefault="00DC295E" w:rsidP="005F5AEE">
            <w:p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</w:p>
          <w:p w14:paraId="1027B1A9" w14:textId="229A836F" w:rsidR="00DC295E" w:rsidRPr="00FA200F" w:rsidRDefault="00DC295E" w:rsidP="008A15F3">
            <w:pPr>
              <w:pStyle w:val="ListParagraph"/>
              <w:numPr>
                <w:ilvl w:val="0"/>
                <w:numId w:val="37"/>
              </w:numPr>
              <w:tabs>
                <w:tab w:val="center" w:pos="4819"/>
                <w:tab w:val="right" w:pos="9639"/>
              </w:tabs>
              <w:spacing w:after="0"/>
              <w:jc w:val="left"/>
            </w:pPr>
            <w:r w:rsidRPr="00FA200F">
              <w:t>Sub-activity 2.</w:t>
            </w:r>
            <w:r>
              <w:t>3</w:t>
            </w:r>
            <w:r w:rsidRPr="00FA200F">
              <w:t>.1. Introduction</w:t>
            </w:r>
            <w:r>
              <w:t xml:space="preserve">, development </w:t>
            </w:r>
            <w:r w:rsidRPr="00FA200F">
              <w:t xml:space="preserve">and promotion of the </w:t>
            </w:r>
            <w:proofErr w:type="spellStart"/>
            <w:r>
              <w:t>EStock</w:t>
            </w:r>
            <w:proofErr w:type="spellEnd"/>
            <w:r>
              <w:t xml:space="preserve"> (</w:t>
            </w:r>
            <w:r w:rsidRPr="00FA200F">
              <w:t>digital stock management platform</w:t>
            </w:r>
            <w:r>
              <w:t>)</w:t>
            </w:r>
            <w:r w:rsidRPr="00FA200F">
              <w:t xml:space="preserve"> </w:t>
            </w:r>
            <w:r>
              <w:t xml:space="preserve">for the </w:t>
            </w:r>
            <w:proofErr w:type="spellStart"/>
            <w:r>
              <w:t>MoH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14:paraId="5DD75298" w14:textId="2C2442FE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288885E2" w14:textId="062AD4E8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188501D3" w14:textId="34367876" w:rsidR="00DC295E" w:rsidRDefault="00DC295E" w:rsidP="005F5AE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41A3C382" w14:textId="77777777" w:rsidR="00DC295E" w:rsidRDefault="00DC295E" w:rsidP="005F5AEE">
            <w:pPr>
              <w:keepNext/>
              <w:rPr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4290337C" w14:textId="77777777" w:rsidR="00DC295E" w:rsidRDefault="00DC295E" w:rsidP="005F5AEE">
            <w:pPr>
              <w:keepNext/>
              <w:jc w:val="left"/>
            </w:pPr>
          </w:p>
        </w:tc>
        <w:tc>
          <w:tcPr>
            <w:tcW w:w="1080" w:type="dxa"/>
            <w:shd w:val="clear" w:color="auto" w:fill="auto"/>
          </w:tcPr>
          <w:p w14:paraId="3113ED0C" w14:textId="44C70922" w:rsidR="00DC295E" w:rsidRDefault="00DC295E" w:rsidP="005F5AEE">
            <w:pPr>
              <w:keepNext/>
              <w:spacing w:before="60"/>
            </w:pPr>
            <w:r w:rsidRPr="00FA200F">
              <w:t>Development COA</w:t>
            </w:r>
          </w:p>
        </w:tc>
        <w:tc>
          <w:tcPr>
            <w:tcW w:w="2514" w:type="dxa"/>
            <w:shd w:val="clear" w:color="auto" w:fill="auto"/>
          </w:tcPr>
          <w:p w14:paraId="46C1A077" w14:textId="510DEA65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71200</w:t>
            </w:r>
          </w:p>
          <w:p w14:paraId="0D35D06C" w14:textId="1DE61769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(International Consultants)</w:t>
            </w:r>
          </w:p>
          <w:p w14:paraId="648974E2" w14:textId="1F1CCE25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71300</w:t>
            </w:r>
          </w:p>
          <w:p w14:paraId="0855DE0B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(Local consultants)</w:t>
            </w:r>
          </w:p>
          <w:p w14:paraId="4AF9ACBA" w14:textId="77777777" w:rsidR="00DC295E" w:rsidRDefault="00DC295E" w:rsidP="00334981">
            <w:pPr>
              <w:keepNext/>
              <w:spacing w:after="0" w:line="259" w:lineRule="auto"/>
              <w:jc w:val="center"/>
            </w:pPr>
            <w:r>
              <w:t>72100</w:t>
            </w:r>
          </w:p>
          <w:p w14:paraId="67642AFE" w14:textId="77777777" w:rsidR="00DC295E" w:rsidRDefault="00DC295E" w:rsidP="00334981">
            <w:pPr>
              <w:keepNext/>
              <w:spacing w:after="0" w:line="259" w:lineRule="auto"/>
              <w:jc w:val="center"/>
            </w:pPr>
            <w:r>
              <w:t>(Contractual Services Companies)</w:t>
            </w:r>
          </w:p>
          <w:p w14:paraId="6479A665" w14:textId="7BD483A6" w:rsidR="00DC295E" w:rsidRDefault="00DC295E" w:rsidP="005F5AEE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896" w:type="dxa"/>
            <w:vMerge/>
            <w:shd w:val="clear" w:color="auto" w:fill="auto"/>
          </w:tcPr>
          <w:p w14:paraId="29F16402" w14:textId="17DB31D6" w:rsidR="00DC295E" w:rsidRDefault="00DC295E" w:rsidP="005F5AEE">
            <w:pPr>
              <w:keepNext/>
              <w:spacing w:before="60"/>
              <w:jc w:val="left"/>
              <w:rPr>
                <w:color w:val="FF0000"/>
              </w:rPr>
            </w:pPr>
          </w:p>
        </w:tc>
      </w:tr>
      <w:tr w:rsidR="00DC295E" w14:paraId="36DDAFB6" w14:textId="77777777" w:rsidTr="00D06432">
        <w:trPr>
          <w:trHeight w:val="526"/>
        </w:trPr>
        <w:tc>
          <w:tcPr>
            <w:tcW w:w="2160" w:type="dxa"/>
            <w:vMerge/>
            <w:shd w:val="clear" w:color="auto" w:fill="auto"/>
          </w:tcPr>
          <w:p w14:paraId="7D4D7152" w14:textId="77777777" w:rsidR="00DC295E" w:rsidRDefault="00DC295E" w:rsidP="005F5AEE">
            <w:pPr>
              <w:tabs>
                <w:tab w:val="center" w:pos="4819"/>
                <w:tab w:val="right" w:pos="9639"/>
              </w:tabs>
              <w:spacing w:before="60" w:after="0"/>
              <w:jc w:val="left"/>
              <w:rPr>
                <w:b/>
              </w:rPr>
            </w:pPr>
          </w:p>
        </w:tc>
        <w:tc>
          <w:tcPr>
            <w:tcW w:w="4232" w:type="dxa"/>
            <w:gridSpan w:val="2"/>
            <w:shd w:val="clear" w:color="auto" w:fill="auto"/>
          </w:tcPr>
          <w:p w14:paraId="7E094039" w14:textId="02A144D1" w:rsidR="00DC295E" w:rsidRDefault="00DC295E" w:rsidP="005F5AEE">
            <w:p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  <w:r w:rsidRPr="005F5AEE">
              <w:rPr>
                <w:b/>
              </w:rPr>
              <w:t xml:space="preserve">Activity </w:t>
            </w:r>
            <w:r>
              <w:rPr>
                <w:b/>
              </w:rPr>
              <w:t>3</w:t>
            </w:r>
            <w:r w:rsidRPr="005F5AEE">
              <w:rPr>
                <w:b/>
              </w:rPr>
              <w:t xml:space="preserve"> Provide HIV/TB response</w:t>
            </w:r>
            <w:r>
              <w:rPr>
                <w:b/>
              </w:rPr>
              <w:t>:</w:t>
            </w:r>
          </w:p>
          <w:p w14:paraId="59F9EF06" w14:textId="77777777" w:rsidR="00DC295E" w:rsidRDefault="00DC295E" w:rsidP="005F5AEE">
            <w:p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</w:p>
          <w:p w14:paraId="275E52B9" w14:textId="7EE3ABB8" w:rsidR="00DC295E" w:rsidRDefault="00DC295E" w:rsidP="005F5AEE">
            <w:pPr>
              <w:pStyle w:val="ListParagraph"/>
              <w:numPr>
                <w:ilvl w:val="0"/>
                <w:numId w:val="37"/>
              </w:numPr>
              <w:tabs>
                <w:tab w:val="center" w:pos="4819"/>
                <w:tab w:val="right" w:pos="9639"/>
              </w:tabs>
              <w:spacing w:after="0"/>
              <w:jc w:val="left"/>
            </w:pPr>
            <w:r w:rsidRPr="005F5AEE">
              <w:t>Sub-activity 2.4.1 Promote the</w:t>
            </w:r>
            <w:r>
              <w:t xml:space="preserve"> recommendations by the</w:t>
            </w:r>
            <w:r w:rsidRPr="005F5AEE">
              <w:t xml:space="preserve"> Global Commission on HIV and the Law with a </w:t>
            </w:r>
            <w:proofErr w:type="gramStart"/>
            <w:r w:rsidRPr="005F5AEE">
              <w:t>particular emphasis</w:t>
            </w:r>
            <w:proofErr w:type="gramEnd"/>
            <w:r w:rsidRPr="005F5AEE">
              <w:t xml:space="preserve"> on those which align with the HIV and TB Legal Environment Assessments (LEAs) </w:t>
            </w:r>
            <w:r>
              <w:t>Ukraine</w:t>
            </w:r>
            <w:r w:rsidRPr="005F5AEE">
              <w:t xml:space="preserve">-specific recommendations </w:t>
            </w:r>
            <w:r>
              <w:t>in order to</w:t>
            </w:r>
            <w:r w:rsidRPr="005F5AEE">
              <w:t xml:space="preserve"> deliver a comprehensive human rights-based FTCI cities response to the ongoing HIV and TB epidemics in Ukraine</w:t>
            </w:r>
          </w:p>
          <w:p w14:paraId="1F014BAE" w14:textId="069AEB43" w:rsidR="00DC295E" w:rsidRPr="005F5AEE" w:rsidRDefault="00DC295E" w:rsidP="00454E89">
            <w:pPr>
              <w:pStyle w:val="ListParagraph"/>
              <w:numPr>
                <w:ilvl w:val="0"/>
                <w:numId w:val="37"/>
              </w:numPr>
              <w:tabs>
                <w:tab w:val="center" w:pos="4819"/>
                <w:tab w:val="right" w:pos="9639"/>
              </w:tabs>
              <w:spacing w:after="0"/>
              <w:jc w:val="left"/>
            </w:pPr>
            <w:r>
              <w:t xml:space="preserve">Sub-activity 2.4.2 Support sustainability of healthcare and ensure health rights of key </w:t>
            </w:r>
            <w:r>
              <w:lastRenderedPageBreak/>
              <w:t>populations (MSM/TG and HIV-positive women)</w:t>
            </w:r>
          </w:p>
        </w:tc>
        <w:tc>
          <w:tcPr>
            <w:tcW w:w="557" w:type="dxa"/>
            <w:shd w:val="clear" w:color="auto" w:fill="auto"/>
          </w:tcPr>
          <w:p w14:paraId="0FC1137A" w14:textId="7174EEDA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554" w:type="dxa"/>
            <w:shd w:val="clear" w:color="auto" w:fill="auto"/>
          </w:tcPr>
          <w:p w14:paraId="7D14EACF" w14:textId="2DFC1449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26810FF2" w14:textId="3AA30E5C" w:rsidR="00DC295E" w:rsidRDefault="00DC295E" w:rsidP="005F5AE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1C6AB119" w14:textId="77777777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  <w:p w14:paraId="404D7D6C" w14:textId="77777777" w:rsidR="00DC295E" w:rsidRDefault="00DC295E" w:rsidP="005F5AEE">
            <w:pPr>
              <w:keepNext/>
              <w:rPr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77D16F26" w14:textId="77777777" w:rsidR="00DC295E" w:rsidRDefault="00DC295E" w:rsidP="005F5AEE">
            <w:pPr>
              <w:keepNext/>
              <w:jc w:val="left"/>
            </w:pPr>
          </w:p>
        </w:tc>
        <w:tc>
          <w:tcPr>
            <w:tcW w:w="1080" w:type="dxa"/>
            <w:shd w:val="clear" w:color="auto" w:fill="auto"/>
          </w:tcPr>
          <w:p w14:paraId="38A1F99E" w14:textId="059B94DD" w:rsidR="00DC295E" w:rsidRDefault="00DC295E" w:rsidP="005F5AEE">
            <w:pPr>
              <w:keepNext/>
              <w:spacing w:before="60"/>
            </w:pPr>
            <w:r w:rsidRPr="005F5AEE">
              <w:t>UBRAF, IRH</w:t>
            </w:r>
            <w:r w:rsidR="005E44FE">
              <w:t>, TRAC</w:t>
            </w:r>
          </w:p>
        </w:tc>
        <w:tc>
          <w:tcPr>
            <w:tcW w:w="2514" w:type="dxa"/>
            <w:shd w:val="clear" w:color="auto" w:fill="auto"/>
          </w:tcPr>
          <w:p w14:paraId="67D67B24" w14:textId="298C82FB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75700</w:t>
            </w:r>
          </w:p>
          <w:p w14:paraId="1A212669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 xml:space="preserve">(Training, Workshops and Conferences) </w:t>
            </w:r>
          </w:p>
          <w:p w14:paraId="076EC740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</w:p>
          <w:p w14:paraId="006263C2" w14:textId="04CB5454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71600</w:t>
            </w:r>
          </w:p>
          <w:p w14:paraId="7AAD85E8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 xml:space="preserve"> (Travel)     </w:t>
            </w:r>
          </w:p>
          <w:p w14:paraId="5BA99524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</w:p>
          <w:p w14:paraId="2A3EF290" w14:textId="3FDEA696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71300</w:t>
            </w:r>
          </w:p>
          <w:p w14:paraId="5864E400" w14:textId="77777777" w:rsidR="00DC295E" w:rsidRDefault="00DC295E" w:rsidP="005F5AEE">
            <w:pPr>
              <w:widowControl w:val="0"/>
              <w:spacing w:after="0" w:line="276" w:lineRule="auto"/>
              <w:jc w:val="center"/>
            </w:pPr>
            <w:r>
              <w:t>(Local consultants)</w:t>
            </w:r>
          </w:p>
          <w:p w14:paraId="00DFF5DC" w14:textId="77777777" w:rsidR="00DC295E" w:rsidRDefault="00DC295E" w:rsidP="00E87184">
            <w:pPr>
              <w:spacing w:after="0"/>
              <w:jc w:val="center"/>
              <w:rPr>
                <w:color w:val="auto"/>
              </w:rPr>
            </w:pPr>
          </w:p>
          <w:p w14:paraId="318BB808" w14:textId="13CB7F51" w:rsidR="00DC295E" w:rsidRPr="00D26A48" w:rsidRDefault="00DC295E" w:rsidP="00E87184">
            <w:pPr>
              <w:spacing w:after="0"/>
              <w:jc w:val="center"/>
              <w:rPr>
                <w:color w:val="auto"/>
              </w:rPr>
            </w:pPr>
            <w:r w:rsidRPr="00D26A48">
              <w:rPr>
                <w:color w:val="auto"/>
              </w:rPr>
              <w:t>74220 (Translation Costs)</w:t>
            </w:r>
          </w:p>
          <w:p w14:paraId="581FD130" w14:textId="77777777" w:rsidR="00DC295E" w:rsidRPr="00D26A48" w:rsidRDefault="00DC295E" w:rsidP="00E87184">
            <w:pPr>
              <w:spacing w:after="0"/>
              <w:jc w:val="center"/>
              <w:rPr>
                <w:color w:val="auto"/>
              </w:rPr>
            </w:pPr>
          </w:p>
          <w:p w14:paraId="57A906D0" w14:textId="77777777" w:rsidR="00DC295E" w:rsidRDefault="00DC295E" w:rsidP="00E87184">
            <w:pPr>
              <w:spacing w:after="0"/>
              <w:jc w:val="center"/>
              <w:rPr>
                <w:color w:val="auto"/>
              </w:rPr>
            </w:pPr>
            <w:r w:rsidRPr="00D26A48">
              <w:rPr>
                <w:color w:val="auto"/>
              </w:rPr>
              <w:t>74210 (Printing and Publications)</w:t>
            </w:r>
          </w:p>
          <w:p w14:paraId="38F20322" w14:textId="7309C203" w:rsidR="00DC295E" w:rsidRDefault="00DC295E" w:rsidP="005F5AEE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896" w:type="dxa"/>
            <w:vMerge/>
            <w:shd w:val="clear" w:color="auto" w:fill="auto"/>
          </w:tcPr>
          <w:p w14:paraId="376EF5EF" w14:textId="3A767BBA" w:rsidR="00DC295E" w:rsidRDefault="00DC295E" w:rsidP="005F5AEE">
            <w:pPr>
              <w:keepNext/>
              <w:spacing w:before="60"/>
              <w:jc w:val="left"/>
              <w:rPr>
                <w:color w:val="FF0000"/>
              </w:rPr>
            </w:pPr>
          </w:p>
        </w:tc>
      </w:tr>
      <w:tr w:rsidR="00DC295E" w14:paraId="18DFD9C6" w14:textId="77777777" w:rsidTr="00D06432">
        <w:trPr>
          <w:trHeight w:val="526"/>
        </w:trPr>
        <w:tc>
          <w:tcPr>
            <w:tcW w:w="2160" w:type="dxa"/>
            <w:vMerge/>
            <w:shd w:val="clear" w:color="auto" w:fill="auto"/>
          </w:tcPr>
          <w:p w14:paraId="5B931F7B" w14:textId="77777777" w:rsidR="00DC295E" w:rsidRDefault="00DC295E" w:rsidP="005F5AEE">
            <w:pPr>
              <w:tabs>
                <w:tab w:val="center" w:pos="4819"/>
                <w:tab w:val="right" w:pos="9639"/>
              </w:tabs>
              <w:spacing w:before="60" w:after="0"/>
              <w:jc w:val="left"/>
              <w:rPr>
                <w:b/>
              </w:rPr>
            </w:pPr>
          </w:p>
        </w:tc>
        <w:tc>
          <w:tcPr>
            <w:tcW w:w="4232" w:type="dxa"/>
            <w:gridSpan w:val="2"/>
            <w:shd w:val="clear" w:color="auto" w:fill="auto"/>
          </w:tcPr>
          <w:p w14:paraId="1C80DA43" w14:textId="22CB6E98" w:rsidR="00DC295E" w:rsidRDefault="00DC295E" w:rsidP="005F5AEE">
            <w:pPr>
              <w:tabs>
                <w:tab w:val="center" w:pos="4819"/>
                <w:tab w:val="right" w:pos="9639"/>
              </w:tabs>
              <w:spacing w:after="0"/>
              <w:jc w:val="left"/>
              <w:rPr>
                <w:b/>
              </w:rPr>
            </w:pPr>
            <w:r w:rsidRPr="005F5AEE">
              <w:rPr>
                <w:b/>
              </w:rPr>
              <w:t xml:space="preserve">Activity </w:t>
            </w:r>
            <w:r>
              <w:rPr>
                <w:b/>
              </w:rPr>
              <w:t>4</w:t>
            </w:r>
            <w:r w:rsidRPr="005F5AEE">
              <w:rPr>
                <w:b/>
              </w:rPr>
              <w:t xml:space="preserve"> M&amp;E, QA and </w:t>
            </w:r>
            <w:r>
              <w:rPr>
                <w:b/>
              </w:rPr>
              <w:t>communication:</w:t>
            </w:r>
          </w:p>
          <w:p w14:paraId="1E923A6B" w14:textId="3BD46969" w:rsidR="00DC295E" w:rsidRDefault="00DC295E" w:rsidP="005F5AEE">
            <w:pPr>
              <w:pStyle w:val="ListParagraph"/>
              <w:numPr>
                <w:ilvl w:val="0"/>
                <w:numId w:val="37"/>
              </w:numPr>
              <w:tabs>
                <w:tab w:val="center" w:pos="4819"/>
                <w:tab w:val="right" w:pos="9639"/>
              </w:tabs>
              <w:spacing w:after="0"/>
              <w:jc w:val="left"/>
            </w:pPr>
            <w:r w:rsidRPr="005F5AEE">
              <w:t xml:space="preserve">Sub-activity 2.5.1 Conduct a forward-looking evaluation to assess </w:t>
            </w:r>
            <w:r>
              <w:t xml:space="preserve">the </w:t>
            </w:r>
            <w:r w:rsidRPr="005F5AEE">
              <w:t xml:space="preserve">efficiency and </w:t>
            </w:r>
            <w:r>
              <w:t xml:space="preserve">the </w:t>
            </w:r>
            <w:r w:rsidRPr="005F5AEE">
              <w:t>impact of the project and propose steps for future development</w:t>
            </w:r>
            <w:r>
              <w:t>;</w:t>
            </w:r>
          </w:p>
          <w:p w14:paraId="35D42B61" w14:textId="44E51B2A" w:rsidR="00DC295E" w:rsidRDefault="00DC295E" w:rsidP="005F5AEE">
            <w:pPr>
              <w:pStyle w:val="ListParagraph"/>
              <w:numPr>
                <w:ilvl w:val="0"/>
                <w:numId w:val="37"/>
              </w:numPr>
              <w:tabs>
                <w:tab w:val="center" w:pos="4819"/>
                <w:tab w:val="right" w:pos="9639"/>
              </w:tabs>
              <w:spacing w:after="0"/>
              <w:jc w:val="left"/>
            </w:pPr>
            <w:r w:rsidRPr="005F5AEE">
              <w:t>Sub</w:t>
            </w:r>
            <w:r>
              <w:t>-</w:t>
            </w:r>
            <w:r w:rsidRPr="005F5AEE">
              <w:t>activity 2.5.2 Prepare an evidence-based publication of the project achievements since its start for M&amp;E and Comm</w:t>
            </w:r>
            <w:r>
              <w:t>unication</w:t>
            </w:r>
            <w:r w:rsidRPr="005F5AEE">
              <w:t>s purposes</w:t>
            </w:r>
            <w:r>
              <w:t>;</w:t>
            </w:r>
          </w:p>
          <w:p w14:paraId="76C4175E" w14:textId="77777777" w:rsidR="00DC295E" w:rsidRDefault="00DC295E" w:rsidP="005F5AEE">
            <w:pPr>
              <w:pStyle w:val="ListParagraph"/>
              <w:numPr>
                <w:ilvl w:val="0"/>
                <w:numId w:val="37"/>
              </w:numPr>
              <w:tabs>
                <w:tab w:val="center" w:pos="4819"/>
                <w:tab w:val="right" w:pos="9639"/>
              </w:tabs>
              <w:spacing w:after="0"/>
              <w:jc w:val="left"/>
            </w:pPr>
            <w:r w:rsidRPr="005F5AEE">
              <w:t>Sub</w:t>
            </w:r>
            <w:r>
              <w:t>-</w:t>
            </w:r>
            <w:r w:rsidRPr="005F5AEE">
              <w:t>activity 2.5.3 Ongoing monitoring and QA of the project procurement and programme activities.</w:t>
            </w:r>
          </w:p>
          <w:p w14:paraId="362B89BA" w14:textId="51D08B0E" w:rsidR="00DC295E" w:rsidRPr="00DE38A6" w:rsidRDefault="00DC295E" w:rsidP="00DE38A6">
            <w:pPr>
              <w:pStyle w:val="ListParagraph"/>
              <w:numPr>
                <w:ilvl w:val="0"/>
                <w:numId w:val="37"/>
              </w:numPr>
              <w:tabs>
                <w:tab w:val="center" w:pos="4819"/>
                <w:tab w:val="right" w:pos="9639"/>
              </w:tabs>
              <w:spacing w:after="0"/>
              <w:jc w:val="left"/>
            </w:pPr>
            <w:r>
              <w:t>Sub-activity 2.5.4 Conduct a PR campaign to promote a positive image of medicines procurement through UNDP</w:t>
            </w:r>
          </w:p>
        </w:tc>
        <w:tc>
          <w:tcPr>
            <w:tcW w:w="557" w:type="dxa"/>
            <w:shd w:val="clear" w:color="auto" w:fill="auto"/>
          </w:tcPr>
          <w:p w14:paraId="3F4F6875" w14:textId="0A457AD2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646719B5" w14:textId="26858FF9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62522059" w14:textId="6CF11A72" w:rsidR="00DC295E" w:rsidRDefault="00DC295E" w:rsidP="005F5AE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78908331" w14:textId="77777777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  <w:p w14:paraId="03AFF03F" w14:textId="77777777" w:rsidR="00DC295E" w:rsidRDefault="00DC295E" w:rsidP="005F5AEE">
            <w:pPr>
              <w:keepNext/>
              <w:rPr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0FA0424F" w14:textId="77777777" w:rsidR="00DC295E" w:rsidRDefault="00DC295E" w:rsidP="005F5AEE">
            <w:pPr>
              <w:keepNext/>
              <w:jc w:val="left"/>
            </w:pPr>
          </w:p>
        </w:tc>
        <w:tc>
          <w:tcPr>
            <w:tcW w:w="1080" w:type="dxa"/>
            <w:shd w:val="clear" w:color="auto" w:fill="auto"/>
          </w:tcPr>
          <w:p w14:paraId="121C84A1" w14:textId="77777777" w:rsidR="00DC295E" w:rsidRDefault="00DC295E" w:rsidP="005F5AEE">
            <w:pPr>
              <w:keepNext/>
              <w:spacing w:before="60"/>
            </w:pPr>
          </w:p>
        </w:tc>
        <w:tc>
          <w:tcPr>
            <w:tcW w:w="2514" w:type="dxa"/>
            <w:shd w:val="clear" w:color="auto" w:fill="auto"/>
          </w:tcPr>
          <w:p w14:paraId="6B18C33E" w14:textId="660F34EE" w:rsidR="00DC295E" w:rsidRDefault="00DC295E" w:rsidP="005F5AEE">
            <w:pPr>
              <w:widowControl w:val="0"/>
              <w:spacing w:after="0" w:line="276" w:lineRule="auto"/>
              <w:jc w:val="left"/>
            </w:pPr>
          </w:p>
          <w:p w14:paraId="45CDFD9B" w14:textId="77777777" w:rsidR="00DC295E" w:rsidRDefault="00DC295E" w:rsidP="005F5AEE">
            <w:pPr>
              <w:jc w:val="center"/>
            </w:pPr>
            <w:r>
              <w:t xml:space="preserve">71300  </w:t>
            </w:r>
          </w:p>
          <w:p w14:paraId="0A87077E" w14:textId="77777777" w:rsidR="00DC295E" w:rsidRDefault="00DC295E" w:rsidP="005F5AEE">
            <w:pPr>
              <w:jc w:val="center"/>
            </w:pPr>
            <w:r>
              <w:t>(Local consultants)</w:t>
            </w:r>
          </w:p>
          <w:p w14:paraId="5205729F" w14:textId="77777777" w:rsidR="00DC295E" w:rsidRDefault="00DC295E" w:rsidP="005F5AEE">
            <w:pPr>
              <w:jc w:val="center"/>
            </w:pPr>
            <w:r>
              <w:t>72100</w:t>
            </w:r>
          </w:p>
          <w:p w14:paraId="360B1966" w14:textId="77777777" w:rsidR="00DC295E" w:rsidRDefault="00DC295E" w:rsidP="005F5AEE">
            <w:pPr>
              <w:jc w:val="center"/>
            </w:pPr>
            <w:r>
              <w:t>(Contractual Services Companies)</w:t>
            </w:r>
          </w:p>
          <w:p w14:paraId="6653FFE6" w14:textId="77777777" w:rsidR="00DC295E" w:rsidRDefault="00DC295E" w:rsidP="005F5AEE">
            <w:pPr>
              <w:jc w:val="center"/>
            </w:pPr>
          </w:p>
          <w:p w14:paraId="6976B429" w14:textId="68C19A94" w:rsidR="00DC295E" w:rsidRDefault="00DC295E" w:rsidP="005F5AEE">
            <w:pPr>
              <w:jc w:val="center"/>
            </w:pPr>
            <w:r>
              <w:t xml:space="preserve">75700 </w:t>
            </w:r>
          </w:p>
          <w:p w14:paraId="79382C54" w14:textId="77777777" w:rsidR="00DC295E" w:rsidRDefault="00DC295E" w:rsidP="005F5AEE">
            <w:pPr>
              <w:jc w:val="center"/>
            </w:pPr>
            <w:r>
              <w:t>(Training, Workshops and Conferences)</w:t>
            </w:r>
          </w:p>
          <w:p w14:paraId="1DCAB564" w14:textId="77777777" w:rsidR="00DC295E" w:rsidRDefault="00DC295E" w:rsidP="005F5AEE">
            <w:pPr>
              <w:jc w:val="center"/>
            </w:pPr>
          </w:p>
          <w:p w14:paraId="738EC00A" w14:textId="3F8CF61E" w:rsidR="00DC295E" w:rsidRDefault="00DC295E" w:rsidP="005F5AEE">
            <w:pPr>
              <w:jc w:val="center"/>
            </w:pPr>
            <w:r>
              <w:t xml:space="preserve">74500 </w:t>
            </w:r>
          </w:p>
          <w:p w14:paraId="129F778C" w14:textId="77777777" w:rsidR="00DC295E" w:rsidRDefault="00DC295E" w:rsidP="005F5AEE">
            <w:pPr>
              <w:jc w:val="center"/>
            </w:pPr>
            <w:r>
              <w:t>(Miscellaneous Expenses)</w:t>
            </w:r>
          </w:p>
          <w:p w14:paraId="172F1D5C" w14:textId="77777777" w:rsidR="00DC295E" w:rsidRDefault="00DC295E" w:rsidP="005F5AEE">
            <w:pPr>
              <w:jc w:val="center"/>
            </w:pPr>
            <w:r>
              <w:t>72810</w:t>
            </w:r>
          </w:p>
          <w:p w14:paraId="3CCA0E65" w14:textId="77777777" w:rsidR="00DC295E" w:rsidRDefault="00DC295E" w:rsidP="005F5AEE">
            <w:pPr>
              <w:jc w:val="center"/>
            </w:pPr>
            <w:r>
              <w:t>(Computer Software)</w:t>
            </w:r>
          </w:p>
          <w:p w14:paraId="706E77CF" w14:textId="2021691C" w:rsidR="00DC295E" w:rsidRPr="005F5AEE" w:rsidRDefault="00DC295E" w:rsidP="005F5AEE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</w:tcPr>
          <w:p w14:paraId="3007088D" w14:textId="448D40B8" w:rsidR="00DC295E" w:rsidRDefault="00DC295E" w:rsidP="005F5AEE">
            <w:pPr>
              <w:keepNext/>
              <w:spacing w:before="60"/>
              <w:jc w:val="left"/>
              <w:rPr>
                <w:color w:val="FF0000"/>
              </w:rPr>
            </w:pPr>
          </w:p>
        </w:tc>
      </w:tr>
      <w:tr w:rsidR="00DC295E" w:rsidRPr="00D06432" w14:paraId="436A0A6E" w14:textId="77777777" w:rsidTr="00D06432">
        <w:trPr>
          <w:trHeight w:val="760"/>
        </w:trPr>
        <w:tc>
          <w:tcPr>
            <w:tcW w:w="2160" w:type="dxa"/>
            <w:vMerge/>
            <w:shd w:val="clear" w:color="auto" w:fill="auto"/>
          </w:tcPr>
          <w:p w14:paraId="4D9CF3CB" w14:textId="77777777" w:rsidR="00DC295E" w:rsidRDefault="00DC295E" w:rsidP="005F5AEE">
            <w:pPr>
              <w:tabs>
                <w:tab w:val="center" w:pos="4819"/>
                <w:tab w:val="right" w:pos="9639"/>
              </w:tabs>
              <w:spacing w:before="60" w:after="0"/>
              <w:jc w:val="left"/>
              <w:rPr>
                <w:b/>
              </w:rPr>
            </w:pPr>
          </w:p>
        </w:tc>
        <w:tc>
          <w:tcPr>
            <w:tcW w:w="4232" w:type="dxa"/>
            <w:gridSpan w:val="2"/>
            <w:shd w:val="clear" w:color="auto" w:fill="auto"/>
          </w:tcPr>
          <w:p w14:paraId="19418971" w14:textId="6636E8BB" w:rsidR="00DC295E" w:rsidRDefault="00DC295E" w:rsidP="005F5AEE">
            <w:pPr>
              <w:tabs>
                <w:tab w:val="center" w:pos="4819"/>
                <w:tab w:val="right" w:pos="9639"/>
              </w:tabs>
              <w:spacing w:after="0"/>
              <w:rPr>
                <w:b/>
              </w:rPr>
            </w:pPr>
            <w:r w:rsidRPr="005F5AEE">
              <w:rPr>
                <w:b/>
              </w:rPr>
              <w:t xml:space="preserve">Activity </w:t>
            </w:r>
            <w:r>
              <w:rPr>
                <w:b/>
              </w:rPr>
              <w:t xml:space="preserve">5 Project Management </w:t>
            </w:r>
          </w:p>
        </w:tc>
        <w:tc>
          <w:tcPr>
            <w:tcW w:w="557" w:type="dxa"/>
            <w:shd w:val="clear" w:color="auto" w:fill="auto"/>
          </w:tcPr>
          <w:p w14:paraId="02426D9A" w14:textId="32B8825A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49734D3D" w14:textId="6B6D8644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67670204" w14:textId="63C4DB28" w:rsidR="00DC295E" w:rsidRDefault="00DC295E" w:rsidP="005F5AE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14:paraId="75C530A9" w14:textId="1218827F" w:rsidR="00DC295E" w:rsidRDefault="00DC295E" w:rsidP="005F5AEE">
            <w:pPr>
              <w:keepNext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28E8C21A" w14:textId="77777777" w:rsidR="00DC295E" w:rsidRDefault="00DC295E" w:rsidP="005F5AEE">
            <w:pPr>
              <w:keepNext/>
              <w:spacing w:before="60"/>
              <w:jc w:val="left"/>
            </w:pPr>
          </w:p>
        </w:tc>
        <w:tc>
          <w:tcPr>
            <w:tcW w:w="1080" w:type="dxa"/>
            <w:shd w:val="clear" w:color="auto" w:fill="auto"/>
          </w:tcPr>
          <w:p w14:paraId="046B18EB" w14:textId="654F6D15" w:rsidR="00DC295E" w:rsidRDefault="00DC295E" w:rsidP="005F5AEE">
            <w:pPr>
              <w:keepNext/>
              <w:spacing w:before="60"/>
              <w:jc w:val="left"/>
            </w:pPr>
          </w:p>
        </w:tc>
        <w:tc>
          <w:tcPr>
            <w:tcW w:w="2514" w:type="dxa"/>
            <w:shd w:val="clear" w:color="auto" w:fill="auto"/>
          </w:tcPr>
          <w:p w14:paraId="1BA7AF10" w14:textId="77777777" w:rsidR="00DC295E" w:rsidRDefault="00DC295E" w:rsidP="005F5AEE">
            <w:pPr>
              <w:spacing w:before="144" w:after="0"/>
              <w:jc w:val="left"/>
              <w:rPr>
                <w:color w:val="FF000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0AF3BB6D" w14:textId="404F2CC1" w:rsidR="00DC295E" w:rsidRPr="00D06432" w:rsidRDefault="00DC295E" w:rsidP="005F5AEE">
            <w:pPr>
              <w:keepNext/>
              <w:spacing w:before="60"/>
              <w:jc w:val="left"/>
            </w:pPr>
          </w:p>
        </w:tc>
      </w:tr>
      <w:tr w:rsidR="00D06432" w14:paraId="0041475C" w14:textId="75FB21AB" w:rsidTr="00D06432">
        <w:trPr>
          <w:trHeight w:val="420"/>
        </w:trPr>
        <w:tc>
          <w:tcPr>
            <w:tcW w:w="13855" w:type="dxa"/>
            <w:gridSpan w:val="10"/>
            <w:shd w:val="clear" w:color="auto" w:fill="D9D9D9"/>
          </w:tcPr>
          <w:p w14:paraId="6CA0C9E7" w14:textId="2424A457" w:rsidR="00D06432" w:rsidRDefault="00D06432" w:rsidP="00D06432">
            <w:pPr>
              <w:tabs>
                <w:tab w:val="right" w:pos="13648"/>
              </w:tabs>
              <w:spacing w:before="60" w:after="0"/>
              <w:jc w:val="right"/>
              <w:rPr>
                <w:i/>
                <w:color w:val="FF0000"/>
              </w:rPr>
            </w:pPr>
            <w:r>
              <w:rPr>
                <w:b/>
              </w:rPr>
              <w:t>Total Output 2, USD:</w:t>
            </w:r>
          </w:p>
        </w:tc>
        <w:tc>
          <w:tcPr>
            <w:tcW w:w="1896" w:type="dxa"/>
            <w:tcBorders>
              <w:top w:val="single" w:sz="4" w:space="0" w:color="000000"/>
            </w:tcBorders>
            <w:shd w:val="clear" w:color="auto" w:fill="A6A6A6"/>
          </w:tcPr>
          <w:p w14:paraId="3DC29940" w14:textId="5D23CDC7" w:rsidR="00DC295E" w:rsidRPr="0050152F" w:rsidRDefault="00DC295E" w:rsidP="00DC295E">
            <w:pPr>
              <w:spacing w:after="0"/>
              <w:jc w:val="left"/>
              <w:rPr>
                <w:b/>
              </w:rPr>
            </w:pPr>
            <w:r w:rsidRPr="0050152F">
              <w:rPr>
                <w:b/>
              </w:rPr>
              <w:t xml:space="preserve">$ 1 </w:t>
            </w:r>
            <w:r w:rsidR="005E44FE">
              <w:rPr>
                <w:b/>
              </w:rPr>
              <w:t>803 545</w:t>
            </w:r>
          </w:p>
          <w:p w14:paraId="6F6E946F" w14:textId="5EDC1FF3" w:rsidR="00D06432" w:rsidRPr="00D06432" w:rsidRDefault="00D06432" w:rsidP="005F5AEE">
            <w:pPr>
              <w:spacing w:after="0"/>
              <w:rPr>
                <w:b/>
                <w:color w:val="FF0000"/>
              </w:rPr>
            </w:pPr>
          </w:p>
        </w:tc>
      </w:tr>
      <w:tr w:rsidR="0050152F" w:rsidRPr="000375CF" w14:paraId="226F91C9" w14:textId="77777777" w:rsidTr="00BD250A">
        <w:trPr>
          <w:trHeight w:val="319"/>
        </w:trPr>
        <w:tc>
          <w:tcPr>
            <w:tcW w:w="3505" w:type="dxa"/>
            <w:gridSpan w:val="2"/>
            <w:tcBorders>
              <w:top w:val="single" w:sz="4" w:space="0" w:color="000000"/>
            </w:tcBorders>
            <w:shd w:val="clear" w:color="auto" w:fill="A6A6A6"/>
          </w:tcPr>
          <w:p w14:paraId="635B5096" w14:textId="2D57956A" w:rsidR="0050152F" w:rsidRDefault="0050152F" w:rsidP="0050152F">
            <w:pPr>
              <w:keepNext/>
              <w:rPr>
                <w:b/>
              </w:rPr>
            </w:pPr>
            <w:r>
              <w:rPr>
                <w:rFonts w:ascii="PT Sans" w:hAnsi="PT Sans" w:cs="Calibri"/>
                <w:b/>
                <w:bCs/>
                <w:sz w:val="18"/>
                <w:szCs w:val="18"/>
              </w:rPr>
              <w:t xml:space="preserve">TOTAL Support services (IT, HR, Fin, </w:t>
            </w:r>
            <w:proofErr w:type="spellStart"/>
            <w:r>
              <w:rPr>
                <w:rFonts w:ascii="PT Sans" w:hAnsi="PT Sans" w:cs="Calibri"/>
                <w:b/>
                <w:bCs/>
                <w:sz w:val="18"/>
                <w:szCs w:val="18"/>
              </w:rPr>
              <w:t>Procur</w:t>
            </w:r>
            <w:proofErr w:type="spellEnd"/>
            <w:r>
              <w:rPr>
                <w:rFonts w:ascii="PT Sans" w:hAnsi="PT Sans" w:cs="Calibri"/>
                <w:b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</w:tcBorders>
            <w:shd w:val="clear" w:color="auto" w:fill="A6A6A6"/>
          </w:tcPr>
          <w:p w14:paraId="412F853A" w14:textId="2F7D82DC" w:rsidR="0050152F" w:rsidRPr="0050152F" w:rsidRDefault="0050152F" w:rsidP="0050152F">
            <w:pPr>
              <w:spacing w:after="0"/>
              <w:jc w:val="left"/>
            </w:pPr>
            <w:r w:rsidRPr="0050152F">
              <w:t xml:space="preserve"> </w:t>
            </w:r>
          </w:p>
        </w:tc>
        <w:tc>
          <w:tcPr>
            <w:tcW w:w="1896" w:type="dxa"/>
            <w:shd w:val="clear" w:color="auto" w:fill="A6A6A6"/>
          </w:tcPr>
          <w:p w14:paraId="5716D829" w14:textId="4BADF852" w:rsidR="0050152F" w:rsidRPr="0050152F" w:rsidRDefault="0050152F" w:rsidP="0050152F">
            <w:pPr>
              <w:spacing w:after="0"/>
              <w:jc w:val="left"/>
            </w:pPr>
            <w:r w:rsidRPr="0050152F">
              <w:t>$ 5 58</w:t>
            </w:r>
            <w:r w:rsidR="005E44FE">
              <w:t>6 188</w:t>
            </w:r>
          </w:p>
        </w:tc>
      </w:tr>
      <w:tr w:rsidR="0050152F" w:rsidRPr="000375CF" w14:paraId="6EE4636A" w14:textId="77777777" w:rsidTr="00BD250A">
        <w:trPr>
          <w:trHeight w:val="319"/>
        </w:trPr>
        <w:tc>
          <w:tcPr>
            <w:tcW w:w="3505" w:type="dxa"/>
            <w:gridSpan w:val="2"/>
            <w:tcBorders>
              <w:top w:val="single" w:sz="4" w:space="0" w:color="000000"/>
            </w:tcBorders>
            <w:shd w:val="clear" w:color="auto" w:fill="A6A6A6"/>
          </w:tcPr>
          <w:p w14:paraId="05FD7095" w14:textId="140BD7CE" w:rsidR="0050152F" w:rsidRDefault="0050152F" w:rsidP="0050152F">
            <w:pPr>
              <w:keepNext/>
              <w:rPr>
                <w:b/>
              </w:rPr>
            </w:pPr>
            <w:r>
              <w:rPr>
                <w:rFonts w:ascii="PT Sans" w:hAnsi="PT Sans" w:cs="Calibri"/>
                <w:b/>
                <w:bCs/>
                <w:sz w:val="18"/>
                <w:szCs w:val="18"/>
              </w:rPr>
              <w:t>TOTAL Facilities &amp; Administration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</w:tcBorders>
            <w:shd w:val="clear" w:color="auto" w:fill="A6A6A6"/>
          </w:tcPr>
          <w:p w14:paraId="66D4B5A8" w14:textId="77777777" w:rsidR="0050152F" w:rsidRDefault="0050152F" w:rsidP="0050152F">
            <w:pPr>
              <w:keepNext/>
              <w:spacing w:before="60" w:after="0"/>
              <w:jc w:val="left"/>
              <w:rPr>
                <w:i/>
              </w:rPr>
            </w:pPr>
          </w:p>
        </w:tc>
        <w:tc>
          <w:tcPr>
            <w:tcW w:w="1896" w:type="dxa"/>
            <w:shd w:val="clear" w:color="auto" w:fill="A6A6A6"/>
          </w:tcPr>
          <w:p w14:paraId="0949CA59" w14:textId="69D6F13F" w:rsidR="0050152F" w:rsidRPr="0050152F" w:rsidRDefault="0050152F" w:rsidP="0050152F">
            <w:pPr>
              <w:spacing w:after="0"/>
            </w:pPr>
            <w:r w:rsidRPr="0050152F">
              <w:t xml:space="preserve">$ 8 379 </w:t>
            </w:r>
            <w:r w:rsidR="005E44FE">
              <w:t>829</w:t>
            </w:r>
          </w:p>
        </w:tc>
      </w:tr>
      <w:tr w:rsidR="000375CF" w14:paraId="21BE2A26" w14:textId="77777777" w:rsidTr="00BD250A">
        <w:tc>
          <w:tcPr>
            <w:tcW w:w="3505" w:type="dxa"/>
            <w:gridSpan w:val="2"/>
            <w:tcBorders>
              <w:top w:val="single" w:sz="4" w:space="0" w:color="000000"/>
            </w:tcBorders>
            <w:shd w:val="clear" w:color="auto" w:fill="A6A6A6"/>
          </w:tcPr>
          <w:p w14:paraId="1C4768B5" w14:textId="2C953D4A" w:rsidR="000375CF" w:rsidRPr="00D06432" w:rsidRDefault="000375CF" w:rsidP="000375CF">
            <w:pPr>
              <w:keepNext/>
              <w:rPr>
                <w:b/>
              </w:rPr>
            </w:pPr>
            <w:r w:rsidRPr="00D06432">
              <w:rPr>
                <w:b/>
              </w:rPr>
              <w:t>TOTAL year 201</w:t>
            </w:r>
            <w:r>
              <w:rPr>
                <w:b/>
              </w:rPr>
              <w:t>9</w:t>
            </w:r>
            <w:r w:rsidRPr="00D06432">
              <w:rPr>
                <w:b/>
              </w:rPr>
              <w:t xml:space="preserve"> </w:t>
            </w:r>
          </w:p>
          <w:p w14:paraId="6D90E503" w14:textId="42569B26" w:rsidR="000375CF" w:rsidRDefault="000375CF" w:rsidP="000375CF">
            <w:pPr>
              <w:keepNext/>
              <w:rPr>
                <w:b/>
              </w:rPr>
            </w:pPr>
            <w:r w:rsidRPr="00D06432">
              <w:rPr>
                <w:b/>
              </w:rPr>
              <w:t>(outputs 1+2+</w:t>
            </w:r>
            <w:r w:rsidR="00BD250A">
              <w:rPr>
                <w:b/>
              </w:rPr>
              <w:t>DPC+</w:t>
            </w:r>
            <w:r w:rsidRPr="00D06432">
              <w:rPr>
                <w:b/>
              </w:rPr>
              <w:t>GMS), USD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</w:tcBorders>
            <w:shd w:val="clear" w:color="auto" w:fill="A6A6A6"/>
          </w:tcPr>
          <w:p w14:paraId="6AAE8678" w14:textId="69D260C5" w:rsidR="000375CF" w:rsidRDefault="000375CF" w:rsidP="000375CF">
            <w:pPr>
              <w:keepNext/>
              <w:spacing w:before="60" w:after="0"/>
              <w:jc w:val="left"/>
              <w:rPr>
                <w:i/>
              </w:rPr>
            </w:pPr>
          </w:p>
        </w:tc>
        <w:tc>
          <w:tcPr>
            <w:tcW w:w="1896" w:type="dxa"/>
            <w:shd w:val="clear" w:color="auto" w:fill="A6A6A6"/>
          </w:tcPr>
          <w:p w14:paraId="44699677" w14:textId="5AA5C3F7" w:rsidR="000375CF" w:rsidRPr="00722224" w:rsidRDefault="0050152F" w:rsidP="000375CF">
            <w:pPr>
              <w:keepNext/>
              <w:spacing w:before="6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$ 293 2</w:t>
            </w:r>
            <w:r w:rsidR="005E44FE">
              <w:rPr>
                <w:b/>
              </w:rPr>
              <w:t>2</w:t>
            </w:r>
            <w:r>
              <w:rPr>
                <w:b/>
              </w:rPr>
              <w:t>0 812</w:t>
            </w:r>
          </w:p>
        </w:tc>
      </w:tr>
    </w:tbl>
    <w:p w14:paraId="1763C242" w14:textId="77777777" w:rsidR="00930031" w:rsidRDefault="00930031" w:rsidP="00930031"/>
    <w:p w14:paraId="67A3CDF1" w14:textId="7C86EB71" w:rsidR="00FC58BD" w:rsidRPr="00561F3F" w:rsidRDefault="00FC58BD" w:rsidP="00561F3F">
      <w:pPr>
        <w:sectPr w:rsidR="00FC58BD" w:rsidRPr="00561F3F" w:rsidSect="0084111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 w:code="9"/>
          <w:pgMar w:top="1152" w:right="864" w:bottom="1152" w:left="864" w:header="720" w:footer="432" w:gutter="0"/>
          <w:cols w:space="708"/>
          <w:docGrid w:linePitch="360"/>
        </w:sectPr>
      </w:pPr>
    </w:p>
    <w:p w14:paraId="378E7786" w14:textId="013A2FF4" w:rsidR="008F1069" w:rsidRPr="00E23136" w:rsidRDefault="008F1069" w:rsidP="00A8532D">
      <w:pPr>
        <w:pStyle w:val="Heading1"/>
        <w:numPr>
          <w:ilvl w:val="0"/>
          <w:numId w:val="0"/>
        </w:numPr>
        <w:spacing w:after="120"/>
      </w:pPr>
    </w:p>
    <w:sectPr w:rsidR="008F1069" w:rsidRPr="00E23136" w:rsidSect="00803BAF">
      <w:headerReference w:type="first" r:id="rId16"/>
      <w:pgSz w:w="11906" w:h="16838" w:code="9"/>
      <w:pgMar w:top="864" w:right="1152" w:bottom="864" w:left="1152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CA47" w14:textId="77777777" w:rsidR="00EB1106" w:rsidRDefault="00EB1106">
      <w:r>
        <w:separator/>
      </w:r>
    </w:p>
  </w:endnote>
  <w:endnote w:type="continuationSeparator" w:id="0">
    <w:p w14:paraId="66BEA348" w14:textId="77777777" w:rsidR="00EB1106" w:rsidRDefault="00EB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89B6" w14:textId="77777777" w:rsidR="00E95891" w:rsidRDefault="00E95891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CD479" w14:textId="77777777" w:rsidR="00E95891" w:rsidRDefault="00E95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324B" w14:textId="4C91E854" w:rsidR="00E95891" w:rsidRDefault="00E95891" w:rsidP="00453D4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71EC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24D7" w14:textId="7FE0372A" w:rsidR="00E95891" w:rsidRDefault="00E958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1EC">
      <w:rPr>
        <w:noProof/>
      </w:rPr>
      <w:t>14</w:t>
    </w:r>
    <w:r>
      <w:rPr>
        <w:noProof/>
      </w:rPr>
      <w:fldChar w:fldCharType="end"/>
    </w:r>
  </w:p>
  <w:p w14:paraId="6FDE51DA" w14:textId="77777777" w:rsidR="00E95891" w:rsidRDefault="00E95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CAA6" w14:textId="77777777" w:rsidR="00EB1106" w:rsidRDefault="00EB1106">
      <w:r>
        <w:separator/>
      </w:r>
    </w:p>
  </w:footnote>
  <w:footnote w:type="continuationSeparator" w:id="0">
    <w:p w14:paraId="322A7890" w14:textId="77777777" w:rsidR="00EB1106" w:rsidRDefault="00EB1106">
      <w:r>
        <w:continuationSeparator/>
      </w:r>
    </w:p>
  </w:footnote>
  <w:footnote w:id="1">
    <w:p w14:paraId="3AE99028" w14:textId="2D2B939B" w:rsidR="00E95891" w:rsidRPr="00DC295E" w:rsidRDefault="00E95891" w:rsidP="00DC295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DE21" w14:textId="77777777" w:rsidR="00E95891" w:rsidRPr="00453D4C" w:rsidRDefault="00E95891" w:rsidP="00453D4C">
    <w:pPr>
      <w:pStyle w:val="Header"/>
      <w:tabs>
        <w:tab w:val="clear" w:pos="8306"/>
        <w:tab w:val="right" w:pos="9540"/>
      </w:tabs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B88A" w14:textId="77777777" w:rsidR="00E95891" w:rsidRPr="00AF6E8B" w:rsidRDefault="00E95891" w:rsidP="000776E9">
    <w:pPr>
      <w:rPr>
        <w:rFonts w:cs="Arial"/>
        <w:color w:val="002060"/>
        <w:sz w:val="20"/>
        <w:szCs w:val="20"/>
      </w:rPr>
    </w:pPr>
    <w:r w:rsidRPr="00AF6E8B">
      <w:rPr>
        <w:rFonts w:cs="Arial"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329A51AB" wp14:editId="653BD041">
          <wp:simplePos x="0" y="0"/>
          <wp:positionH relativeFrom="column">
            <wp:posOffset>5593080</wp:posOffset>
          </wp:positionH>
          <wp:positionV relativeFrom="paragraph">
            <wp:posOffset>0</wp:posOffset>
          </wp:positionV>
          <wp:extent cx="481965" cy="9575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E8B">
      <w:rPr>
        <w:rFonts w:cs="Arial"/>
        <w:color w:val="002060"/>
        <w:sz w:val="20"/>
        <w:szCs w:val="20"/>
      </w:rPr>
      <w:t>UNITED NATIONS DEVELOPMENT PROGRAMME</w:t>
    </w:r>
  </w:p>
  <w:p w14:paraId="05B45868" w14:textId="77777777" w:rsidR="00E95891" w:rsidRPr="00AF6E8B" w:rsidRDefault="00E95891" w:rsidP="000776E9">
    <w:pPr>
      <w:rPr>
        <w:rFonts w:cs="Arial"/>
        <w:color w:val="002060"/>
      </w:rPr>
    </w:pPr>
  </w:p>
  <w:p w14:paraId="72B05230" w14:textId="77777777" w:rsidR="00E95891" w:rsidRPr="00AF6E8B" w:rsidRDefault="00E95891" w:rsidP="000776E9">
    <w:pPr>
      <w:jc w:val="center"/>
      <w:rPr>
        <w:rFonts w:cs="Arial"/>
        <w:b/>
        <w:color w:val="002060"/>
        <w:sz w:val="20"/>
        <w:szCs w:val="20"/>
        <w:u w:val="single"/>
      </w:rPr>
    </w:pPr>
    <w:r w:rsidRPr="00AF6E8B">
      <w:rPr>
        <w:rFonts w:cs="Arial"/>
        <w:b/>
        <w:color w:val="002060"/>
        <w:sz w:val="20"/>
        <w:szCs w:val="20"/>
        <w:u w:val="single"/>
      </w:rPr>
      <w:t>PROJECT DOCUMENT</w:t>
    </w:r>
  </w:p>
  <w:p w14:paraId="714DF56B" w14:textId="77777777" w:rsidR="00E95891" w:rsidRPr="00726C5B" w:rsidRDefault="00E95891" w:rsidP="000776E9">
    <w:pPr>
      <w:jc w:val="center"/>
      <w:rPr>
        <w:rFonts w:cs="Arial"/>
        <w:b/>
        <w:i/>
        <w:sz w:val="20"/>
        <w:szCs w:val="20"/>
        <w:u w:val="single"/>
      </w:rPr>
    </w:pPr>
    <w:smartTag w:uri="urn:schemas-microsoft-com:office:smarttags" w:element="place">
      <w:smartTag w:uri="urn:schemas-microsoft-com:office:smarttags" w:element="country-region">
        <w:r w:rsidRPr="00726C5B">
          <w:rPr>
            <w:rFonts w:cs="Arial"/>
            <w:b/>
            <w:i/>
            <w:sz w:val="20"/>
            <w:szCs w:val="20"/>
            <w:u w:val="single"/>
          </w:rPr>
          <w:t>Ukraine</w:t>
        </w:r>
      </w:smartTag>
    </w:smartTag>
  </w:p>
  <w:p w14:paraId="56CCFEFC" w14:textId="77777777" w:rsidR="00E95891" w:rsidRDefault="00E95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45C2" w14:textId="77777777" w:rsidR="00E95891" w:rsidRDefault="00E95891">
    <w:pPr>
      <w:pStyle w:val="Header"/>
      <w:rPr>
        <w:b/>
        <w:szCs w:val="22"/>
      </w:rPr>
    </w:pPr>
  </w:p>
  <w:p w14:paraId="2C97E9E9" w14:textId="77777777" w:rsidR="00E95891" w:rsidRPr="00DB520F" w:rsidRDefault="00E95891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3in;height:3in" o:bullet="t"/>
    </w:pict>
  </w:numPicBullet>
  <w:abstractNum w:abstractNumId="0" w15:restartNumberingAfterBreak="0">
    <w:nsid w:val="002008CC"/>
    <w:multiLevelType w:val="multilevel"/>
    <w:tmpl w:val="41EEC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F51D7"/>
    <w:multiLevelType w:val="hybridMultilevel"/>
    <w:tmpl w:val="CC24020A"/>
    <w:lvl w:ilvl="0" w:tplc="1CCE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065"/>
    <w:multiLevelType w:val="multilevel"/>
    <w:tmpl w:val="92CE96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57519"/>
    <w:multiLevelType w:val="hybridMultilevel"/>
    <w:tmpl w:val="27C87E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23A1"/>
    <w:multiLevelType w:val="hybridMultilevel"/>
    <w:tmpl w:val="0E66C360"/>
    <w:lvl w:ilvl="0" w:tplc="1CCE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E434E"/>
    <w:multiLevelType w:val="hybridMultilevel"/>
    <w:tmpl w:val="9E940592"/>
    <w:lvl w:ilvl="0" w:tplc="1CCE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808"/>
    <w:multiLevelType w:val="multilevel"/>
    <w:tmpl w:val="65C6B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Liberation Sans" w:hint="default"/>
      </w:rPr>
    </w:lvl>
  </w:abstractNum>
  <w:abstractNum w:abstractNumId="7" w15:restartNumberingAfterBreak="0">
    <w:nsid w:val="0E561C79"/>
    <w:multiLevelType w:val="hybridMultilevel"/>
    <w:tmpl w:val="E8280350"/>
    <w:lvl w:ilvl="0" w:tplc="1CCE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975BF"/>
    <w:multiLevelType w:val="hybridMultilevel"/>
    <w:tmpl w:val="DF3472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77A5"/>
    <w:multiLevelType w:val="hybridMultilevel"/>
    <w:tmpl w:val="AA4E0D42"/>
    <w:lvl w:ilvl="0" w:tplc="CD3C1F74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DB1694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F0FA5"/>
    <w:multiLevelType w:val="multilevel"/>
    <w:tmpl w:val="D8FA6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6F598F"/>
    <w:multiLevelType w:val="hybridMultilevel"/>
    <w:tmpl w:val="6B7E1A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35E9B"/>
    <w:multiLevelType w:val="multilevel"/>
    <w:tmpl w:val="701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B1E27"/>
    <w:multiLevelType w:val="hybridMultilevel"/>
    <w:tmpl w:val="F560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3334F"/>
    <w:multiLevelType w:val="multilevel"/>
    <w:tmpl w:val="31E6A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Liberation Sans" w:hint="default"/>
      </w:rPr>
    </w:lvl>
  </w:abstractNum>
  <w:abstractNum w:abstractNumId="15" w15:restartNumberingAfterBreak="0">
    <w:nsid w:val="2622168E"/>
    <w:multiLevelType w:val="hybridMultilevel"/>
    <w:tmpl w:val="FD16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31720"/>
    <w:multiLevelType w:val="multilevel"/>
    <w:tmpl w:val="A72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360D0"/>
    <w:multiLevelType w:val="hybridMultilevel"/>
    <w:tmpl w:val="B7769BC6"/>
    <w:lvl w:ilvl="0" w:tplc="9DE00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03DEC"/>
    <w:multiLevelType w:val="multilevel"/>
    <w:tmpl w:val="7A9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2F636C"/>
    <w:multiLevelType w:val="hybridMultilevel"/>
    <w:tmpl w:val="819264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54C9"/>
    <w:multiLevelType w:val="hybridMultilevel"/>
    <w:tmpl w:val="DEFAA9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9A1EE3"/>
    <w:multiLevelType w:val="hybridMultilevel"/>
    <w:tmpl w:val="21A4EA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00301"/>
    <w:multiLevelType w:val="hybridMultilevel"/>
    <w:tmpl w:val="D86A0C06"/>
    <w:lvl w:ilvl="0" w:tplc="9DE00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054A6"/>
    <w:multiLevelType w:val="hybridMultilevel"/>
    <w:tmpl w:val="7D746C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11F63"/>
    <w:multiLevelType w:val="multilevel"/>
    <w:tmpl w:val="8D1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93CB6"/>
    <w:multiLevelType w:val="multilevel"/>
    <w:tmpl w:val="9D50B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4B7CCC"/>
    <w:multiLevelType w:val="hybridMultilevel"/>
    <w:tmpl w:val="BC5ED6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F2934"/>
    <w:multiLevelType w:val="multilevel"/>
    <w:tmpl w:val="DE223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2A5923"/>
    <w:multiLevelType w:val="hybridMultilevel"/>
    <w:tmpl w:val="9BB632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0013A"/>
    <w:multiLevelType w:val="multilevel"/>
    <w:tmpl w:val="B8CC1C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1E4FE6"/>
    <w:multiLevelType w:val="hybridMultilevel"/>
    <w:tmpl w:val="F4D0800E"/>
    <w:lvl w:ilvl="0" w:tplc="9C061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C67"/>
    <w:multiLevelType w:val="hybridMultilevel"/>
    <w:tmpl w:val="06A89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E702D"/>
    <w:multiLevelType w:val="hybridMultilevel"/>
    <w:tmpl w:val="2C82FA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87D8B"/>
    <w:multiLevelType w:val="hybridMultilevel"/>
    <w:tmpl w:val="46DCDA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C3C63"/>
    <w:multiLevelType w:val="hybridMultilevel"/>
    <w:tmpl w:val="7018BCB0"/>
    <w:lvl w:ilvl="0" w:tplc="E82223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C109E"/>
    <w:multiLevelType w:val="hybridMultilevel"/>
    <w:tmpl w:val="70223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F5682"/>
    <w:multiLevelType w:val="hybridMultilevel"/>
    <w:tmpl w:val="F3E8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E0491"/>
    <w:multiLevelType w:val="hybridMultilevel"/>
    <w:tmpl w:val="B1F23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5B7B0C"/>
    <w:multiLevelType w:val="hybridMultilevel"/>
    <w:tmpl w:val="5D0E7242"/>
    <w:lvl w:ilvl="0" w:tplc="1CCE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CB048C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85E87"/>
    <w:multiLevelType w:val="hybridMultilevel"/>
    <w:tmpl w:val="63E23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D2ACA"/>
    <w:multiLevelType w:val="hybridMultilevel"/>
    <w:tmpl w:val="D750CC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23"/>
  </w:num>
  <w:num w:numId="6">
    <w:abstractNumId w:val="29"/>
  </w:num>
  <w:num w:numId="7">
    <w:abstractNumId w:val="17"/>
  </w:num>
  <w:num w:numId="8">
    <w:abstractNumId w:val="5"/>
  </w:num>
  <w:num w:numId="9">
    <w:abstractNumId w:val="38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34"/>
  </w:num>
  <w:num w:numId="17">
    <w:abstractNumId w:val="22"/>
  </w:num>
  <w:num w:numId="18">
    <w:abstractNumId w:val="30"/>
  </w:num>
  <w:num w:numId="19">
    <w:abstractNumId w:val="31"/>
  </w:num>
  <w:num w:numId="20">
    <w:abstractNumId w:val="35"/>
  </w:num>
  <w:num w:numId="21">
    <w:abstractNumId w:val="28"/>
  </w:num>
  <w:num w:numId="22">
    <w:abstractNumId w:val="36"/>
  </w:num>
  <w:num w:numId="23">
    <w:abstractNumId w:val="37"/>
  </w:num>
  <w:num w:numId="24">
    <w:abstractNumId w:val="11"/>
  </w:num>
  <w:num w:numId="25">
    <w:abstractNumId w:val="26"/>
  </w:num>
  <w:num w:numId="26">
    <w:abstractNumId w:val="40"/>
  </w:num>
  <w:num w:numId="27">
    <w:abstractNumId w:val="21"/>
  </w:num>
  <w:num w:numId="28">
    <w:abstractNumId w:val="12"/>
  </w:num>
  <w:num w:numId="29">
    <w:abstractNumId w:val="16"/>
  </w:num>
  <w:num w:numId="30">
    <w:abstractNumId w:val="18"/>
  </w:num>
  <w:num w:numId="31">
    <w:abstractNumId w:val="24"/>
  </w:num>
  <w:num w:numId="32">
    <w:abstractNumId w:val="10"/>
  </w:num>
  <w:num w:numId="33">
    <w:abstractNumId w:val="0"/>
  </w:num>
  <w:num w:numId="34">
    <w:abstractNumId w:val="27"/>
  </w:num>
  <w:num w:numId="35">
    <w:abstractNumId w:val="25"/>
  </w:num>
  <w:num w:numId="36">
    <w:abstractNumId w:val="33"/>
  </w:num>
  <w:num w:numId="37">
    <w:abstractNumId w:val="32"/>
  </w:num>
  <w:num w:numId="38">
    <w:abstractNumId w:val="20"/>
  </w:num>
  <w:num w:numId="39">
    <w:abstractNumId w:val="3"/>
  </w:num>
  <w:num w:numId="40">
    <w:abstractNumId w:val="13"/>
  </w:num>
  <w:num w:numId="41">
    <w:abstractNumId w:val="19"/>
  </w:num>
  <w:num w:numId="42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AlJGlsYWZuZGZko6SsGpxcWZ+XkgBUa1AN1s/p0sAAAA"/>
  </w:docVars>
  <w:rsids>
    <w:rsidRoot w:val="00991FF7"/>
    <w:rsid w:val="00000555"/>
    <w:rsid w:val="00000FE3"/>
    <w:rsid w:val="00001127"/>
    <w:rsid w:val="000049CA"/>
    <w:rsid w:val="00004B1C"/>
    <w:rsid w:val="000057AA"/>
    <w:rsid w:val="000072CF"/>
    <w:rsid w:val="00010930"/>
    <w:rsid w:val="00011915"/>
    <w:rsid w:val="000156C6"/>
    <w:rsid w:val="00015FF2"/>
    <w:rsid w:val="0001785A"/>
    <w:rsid w:val="00022DE9"/>
    <w:rsid w:val="00027EE6"/>
    <w:rsid w:val="00030A48"/>
    <w:rsid w:val="000317D8"/>
    <w:rsid w:val="00031E16"/>
    <w:rsid w:val="00031EB7"/>
    <w:rsid w:val="0003356C"/>
    <w:rsid w:val="000344A5"/>
    <w:rsid w:val="0003461C"/>
    <w:rsid w:val="00037395"/>
    <w:rsid w:val="000375CF"/>
    <w:rsid w:val="00041F71"/>
    <w:rsid w:val="00044654"/>
    <w:rsid w:val="00044655"/>
    <w:rsid w:val="000447A6"/>
    <w:rsid w:val="00045877"/>
    <w:rsid w:val="000468C1"/>
    <w:rsid w:val="00051C87"/>
    <w:rsid w:val="000522E6"/>
    <w:rsid w:val="00053313"/>
    <w:rsid w:val="00053834"/>
    <w:rsid w:val="0005438A"/>
    <w:rsid w:val="0005468D"/>
    <w:rsid w:val="00055972"/>
    <w:rsid w:val="00055A0A"/>
    <w:rsid w:val="00061280"/>
    <w:rsid w:val="000615B0"/>
    <w:rsid w:val="00062A21"/>
    <w:rsid w:val="00062E78"/>
    <w:rsid w:val="00064E2F"/>
    <w:rsid w:val="00065469"/>
    <w:rsid w:val="00065B08"/>
    <w:rsid w:val="00065D73"/>
    <w:rsid w:val="000717D8"/>
    <w:rsid w:val="0007251F"/>
    <w:rsid w:val="00073046"/>
    <w:rsid w:val="000734EF"/>
    <w:rsid w:val="000748FE"/>
    <w:rsid w:val="000776E9"/>
    <w:rsid w:val="00080952"/>
    <w:rsid w:val="00080D77"/>
    <w:rsid w:val="000818F5"/>
    <w:rsid w:val="00081F35"/>
    <w:rsid w:val="0008221B"/>
    <w:rsid w:val="0008309A"/>
    <w:rsid w:val="00084487"/>
    <w:rsid w:val="00084FE3"/>
    <w:rsid w:val="00090431"/>
    <w:rsid w:val="00091478"/>
    <w:rsid w:val="0009152E"/>
    <w:rsid w:val="000927B2"/>
    <w:rsid w:val="00092A3C"/>
    <w:rsid w:val="000939D5"/>
    <w:rsid w:val="000A0718"/>
    <w:rsid w:val="000A0830"/>
    <w:rsid w:val="000A5A14"/>
    <w:rsid w:val="000A60FE"/>
    <w:rsid w:val="000A680B"/>
    <w:rsid w:val="000A7CF2"/>
    <w:rsid w:val="000B063B"/>
    <w:rsid w:val="000B2844"/>
    <w:rsid w:val="000B2C4F"/>
    <w:rsid w:val="000B3A46"/>
    <w:rsid w:val="000B3D30"/>
    <w:rsid w:val="000B3DB0"/>
    <w:rsid w:val="000B4494"/>
    <w:rsid w:val="000B48E2"/>
    <w:rsid w:val="000B4B2D"/>
    <w:rsid w:val="000B52BA"/>
    <w:rsid w:val="000B660E"/>
    <w:rsid w:val="000B6775"/>
    <w:rsid w:val="000B7862"/>
    <w:rsid w:val="000C49F5"/>
    <w:rsid w:val="000C4DDD"/>
    <w:rsid w:val="000C53CC"/>
    <w:rsid w:val="000D34BF"/>
    <w:rsid w:val="000D4669"/>
    <w:rsid w:val="000D4D3F"/>
    <w:rsid w:val="000D65BC"/>
    <w:rsid w:val="000D6E91"/>
    <w:rsid w:val="000D7ACA"/>
    <w:rsid w:val="000E29A8"/>
    <w:rsid w:val="000E3C16"/>
    <w:rsid w:val="000E506E"/>
    <w:rsid w:val="000F4EE2"/>
    <w:rsid w:val="000F517F"/>
    <w:rsid w:val="00104FDC"/>
    <w:rsid w:val="00105ACC"/>
    <w:rsid w:val="00106518"/>
    <w:rsid w:val="001075FA"/>
    <w:rsid w:val="00107ECE"/>
    <w:rsid w:val="00113A56"/>
    <w:rsid w:val="001141FC"/>
    <w:rsid w:val="00115EED"/>
    <w:rsid w:val="00116DF3"/>
    <w:rsid w:val="001209CE"/>
    <w:rsid w:val="001219D0"/>
    <w:rsid w:val="001252EF"/>
    <w:rsid w:val="00125B97"/>
    <w:rsid w:val="00130AC0"/>
    <w:rsid w:val="00130EAC"/>
    <w:rsid w:val="00131DCD"/>
    <w:rsid w:val="0013297A"/>
    <w:rsid w:val="00135CC9"/>
    <w:rsid w:val="00135D16"/>
    <w:rsid w:val="00137EB2"/>
    <w:rsid w:val="00140058"/>
    <w:rsid w:val="00140A83"/>
    <w:rsid w:val="001411C6"/>
    <w:rsid w:val="00141C61"/>
    <w:rsid w:val="00142ED4"/>
    <w:rsid w:val="00143F97"/>
    <w:rsid w:val="001441EC"/>
    <w:rsid w:val="00145604"/>
    <w:rsid w:val="00146350"/>
    <w:rsid w:val="00146DAE"/>
    <w:rsid w:val="00147411"/>
    <w:rsid w:val="0015061B"/>
    <w:rsid w:val="00150B98"/>
    <w:rsid w:val="001522D5"/>
    <w:rsid w:val="001535D9"/>
    <w:rsid w:val="00153928"/>
    <w:rsid w:val="001555BB"/>
    <w:rsid w:val="00155DA1"/>
    <w:rsid w:val="001573B0"/>
    <w:rsid w:val="0016090C"/>
    <w:rsid w:val="00162B5A"/>
    <w:rsid w:val="0016464E"/>
    <w:rsid w:val="00167101"/>
    <w:rsid w:val="001671B6"/>
    <w:rsid w:val="00167302"/>
    <w:rsid w:val="00171649"/>
    <w:rsid w:val="00172334"/>
    <w:rsid w:val="0017396A"/>
    <w:rsid w:val="00181491"/>
    <w:rsid w:val="001819FB"/>
    <w:rsid w:val="001831F1"/>
    <w:rsid w:val="00183C2F"/>
    <w:rsid w:val="00184097"/>
    <w:rsid w:val="00184AA4"/>
    <w:rsid w:val="00185E47"/>
    <w:rsid w:val="00190860"/>
    <w:rsid w:val="00192618"/>
    <w:rsid w:val="00194135"/>
    <w:rsid w:val="00194BA9"/>
    <w:rsid w:val="0019537E"/>
    <w:rsid w:val="001A1150"/>
    <w:rsid w:val="001A1691"/>
    <w:rsid w:val="001A615C"/>
    <w:rsid w:val="001B14E4"/>
    <w:rsid w:val="001B1589"/>
    <w:rsid w:val="001B30A4"/>
    <w:rsid w:val="001B33D4"/>
    <w:rsid w:val="001B3B17"/>
    <w:rsid w:val="001B682A"/>
    <w:rsid w:val="001B7B76"/>
    <w:rsid w:val="001C0394"/>
    <w:rsid w:val="001C0955"/>
    <w:rsid w:val="001C0CF1"/>
    <w:rsid w:val="001C20D9"/>
    <w:rsid w:val="001C4514"/>
    <w:rsid w:val="001C5460"/>
    <w:rsid w:val="001C60D2"/>
    <w:rsid w:val="001D0B24"/>
    <w:rsid w:val="001D0F8F"/>
    <w:rsid w:val="001D1221"/>
    <w:rsid w:val="001D6B47"/>
    <w:rsid w:val="001D70AA"/>
    <w:rsid w:val="001D7708"/>
    <w:rsid w:val="001E4E72"/>
    <w:rsid w:val="001E53CF"/>
    <w:rsid w:val="001E56DF"/>
    <w:rsid w:val="001E6BA7"/>
    <w:rsid w:val="001F04C2"/>
    <w:rsid w:val="001F1500"/>
    <w:rsid w:val="001F1717"/>
    <w:rsid w:val="001F25A8"/>
    <w:rsid w:val="001F270E"/>
    <w:rsid w:val="001F343D"/>
    <w:rsid w:val="001F3BF7"/>
    <w:rsid w:val="001F486F"/>
    <w:rsid w:val="001F4B06"/>
    <w:rsid w:val="001F51F2"/>
    <w:rsid w:val="001F5492"/>
    <w:rsid w:val="001F62B9"/>
    <w:rsid w:val="001F7DD5"/>
    <w:rsid w:val="002003E7"/>
    <w:rsid w:val="00204E38"/>
    <w:rsid w:val="002053AE"/>
    <w:rsid w:val="00206DCB"/>
    <w:rsid w:val="002078C3"/>
    <w:rsid w:val="00207C3F"/>
    <w:rsid w:val="002110E8"/>
    <w:rsid w:val="00212DFF"/>
    <w:rsid w:val="0021307E"/>
    <w:rsid w:val="00214FCC"/>
    <w:rsid w:val="00216295"/>
    <w:rsid w:val="00216441"/>
    <w:rsid w:val="00221C23"/>
    <w:rsid w:val="00221CCB"/>
    <w:rsid w:val="00222ADB"/>
    <w:rsid w:val="00224B4E"/>
    <w:rsid w:val="002250C4"/>
    <w:rsid w:val="002265A0"/>
    <w:rsid w:val="00226D1B"/>
    <w:rsid w:val="00227BAA"/>
    <w:rsid w:val="00230F0F"/>
    <w:rsid w:val="002317AF"/>
    <w:rsid w:val="00232611"/>
    <w:rsid w:val="00233370"/>
    <w:rsid w:val="00235641"/>
    <w:rsid w:val="00235E9D"/>
    <w:rsid w:val="00235F3D"/>
    <w:rsid w:val="002367F0"/>
    <w:rsid w:val="00236B9C"/>
    <w:rsid w:val="0024180B"/>
    <w:rsid w:val="002421F2"/>
    <w:rsid w:val="0024292C"/>
    <w:rsid w:val="00243608"/>
    <w:rsid w:val="0024437D"/>
    <w:rsid w:val="00246251"/>
    <w:rsid w:val="00246539"/>
    <w:rsid w:val="00246A04"/>
    <w:rsid w:val="00246BC6"/>
    <w:rsid w:val="00247233"/>
    <w:rsid w:val="00253711"/>
    <w:rsid w:val="00254F75"/>
    <w:rsid w:val="0025523F"/>
    <w:rsid w:val="00255680"/>
    <w:rsid w:val="00263855"/>
    <w:rsid w:val="00264CF7"/>
    <w:rsid w:val="002650C9"/>
    <w:rsid w:val="00266278"/>
    <w:rsid w:val="00266419"/>
    <w:rsid w:val="00266982"/>
    <w:rsid w:val="002678BD"/>
    <w:rsid w:val="002710B6"/>
    <w:rsid w:val="00274AD6"/>
    <w:rsid w:val="00274C1D"/>
    <w:rsid w:val="002772DD"/>
    <w:rsid w:val="00277329"/>
    <w:rsid w:val="00277FF0"/>
    <w:rsid w:val="0028202E"/>
    <w:rsid w:val="00282FDF"/>
    <w:rsid w:val="002831D8"/>
    <w:rsid w:val="00286333"/>
    <w:rsid w:val="00287241"/>
    <w:rsid w:val="002906AA"/>
    <w:rsid w:val="002913CA"/>
    <w:rsid w:val="00291A94"/>
    <w:rsid w:val="0029421D"/>
    <w:rsid w:val="00296F57"/>
    <w:rsid w:val="002A0800"/>
    <w:rsid w:val="002A1813"/>
    <w:rsid w:val="002A477B"/>
    <w:rsid w:val="002A488D"/>
    <w:rsid w:val="002A5190"/>
    <w:rsid w:val="002A5C87"/>
    <w:rsid w:val="002A6344"/>
    <w:rsid w:val="002A70E4"/>
    <w:rsid w:val="002A7441"/>
    <w:rsid w:val="002A7FA8"/>
    <w:rsid w:val="002B104C"/>
    <w:rsid w:val="002B1A4A"/>
    <w:rsid w:val="002B7BD9"/>
    <w:rsid w:val="002B7D87"/>
    <w:rsid w:val="002B7E89"/>
    <w:rsid w:val="002C060C"/>
    <w:rsid w:val="002C0BCE"/>
    <w:rsid w:val="002C0F93"/>
    <w:rsid w:val="002C133E"/>
    <w:rsid w:val="002C26FB"/>
    <w:rsid w:val="002C29A3"/>
    <w:rsid w:val="002C3155"/>
    <w:rsid w:val="002C521D"/>
    <w:rsid w:val="002C5AB4"/>
    <w:rsid w:val="002C67AC"/>
    <w:rsid w:val="002C75E0"/>
    <w:rsid w:val="002C7759"/>
    <w:rsid w:val="002D17F8"/>
    <w:rsid w:val="002D3B75"/>
    <w:rsid w:val="002D4549"/>
    <w:rsid w:val="002D49DD"/>
    <w:rsid w:val="002D4D04"/>
    <w:rsid w:val="002D5593"/>
    <w:rsid w:val="002D7ADF"/>
    <w:rsid w:val="002E0849"/>
    <w:rsid w:val="002E7232"/>
    <w:rsid w:val="002F3343"/>
    <w:rsid w:val="002F4C95"/>
    <w:rsid w:val="00302288"/>
    <w:rsid w:val="003027DB"/>
    <w:rsid w:val="003030C4"/>
    <w:rsid w:val="003033A3"/>
    <w:rsid w:val="00303A27"/>
    <w:rsid w:val="00303D06"/>
    <w:rsid w:val="003049B2"/>
    <w:rsid w:val="003065F1"/>
    <w:rsid w:val="003069DF"/>
    <w:rsid w:val="003073ED"/>
    <w:rsid w:val="0030798F"/>
    <w:rsid w:val="00314B45"/>
    <w:rsid w:val="00314CAF"/>
    <w:rsid w:val="003156E0"/>
    <w:rsid w:val="00315ADA"/>
    <w:rsid w:val="00315F9D"/>
    <w:rsid w:val="00316445"/>
    <w:rsid w:val="0032026C"/>
    <w:rsid w:val="00320666"/>
    <w:rsid w:val="00321193"/>
    <w:rsid w:val="00321457"/>
    <w:rsid w:val="0032302E"/>
    <w:rsid w:val="00323613"/>
    <w:rsid w:val="0032365E"/>
    <w:rsid w:val="00323682"/>
    <w:rsid w:val="003248C7"/>
    <w:rsid w:val="003257DC"/>
    <w:rsid w:val="00327BE1"/>
    <w:rsid w:val="003315F6"/>
    <w:rsid w:val="00331F99"/>
    <w:rsid w:val="003320CD"/>
    <w:rsid w:val="00334981"/>
    <w:rsid w:val="00335154"/>
    <w:rsid w:val="003352A4"/>
    <w:rsid w:val="0033621C"/>
    <w:rsid w:val="003376C5"/>
    <w:rsid w:val="00337A1D"/>
    <w:rsid w:val="003404F3"/>
    <w:rsid w:val="00340E23"/>
    <w:rsid w:val="003415A9"/>
    <w:rsid w:val="00343651"/>
    <w:rsid w:val="00343C7E"/>
    <w:rsid w:val="0034529B"/>
    <w:rsid w:val="0034663D"/>
    <w:rsid w:val="00347557"/>
    <w:rsid w:val="003508AE"/>
    <w:rsid w:val="0035376C"/>
    <w:rsid w:val="00360613"/>
    <w:rsid w:val="00362C01"/>
    <w:rsid w:val="00362DA2"/>
    <w:rsid w:val="003634A7"/>
    <w:rsid w:val="00363513"/>
    <w:rsid w:val="00364B41"/>
    <w:rsid w:val="003650E3"/>
    <w:rsid w:val="0037132E"/>
    <w:rsid w:val="003714D3"/>
    <w:rsid w:val="003731DF"/>
    <w:rsid w:val="003747AD"/>
    <w:rsid w:val="003758BF"/>
    <w:rsid w:val="00375C5E"/>
    <w:rsid w:val="00375CA3"/>
    <w:rsid w:val="003765D4"/>
    <w:rsid w:val="00381E69"/>
    <w:rsid w:val="003825CA"/>
    <w:rsid w:val="003830B6"/>
    <w:rsid w:val="00383D30"/>
    <w:rsid w:val="0038628D"/>
    <w:rsid w:val="00386971"/>
    <w:rsid w:val="003871E1"/>
    <w:rsid w:val="00392E99"/>
    <w:rsid w:val="003932D6"/>
    <w:rsid w:val="00394C21"/>
    <w:rsid w:val="00396601"/>
    <w:rsid w:val="00396EB2"/>
    <w:rsid w:val="00396F09"/>
    <w:rsid w:val="003A0E46"/>
    <w:rsid w:val="003A15D0"/>
    <w:rsid w:val="003A164E"/>
    <w:rsid w:val="003A16E2"/>
    <w:rsid w:val="003A2617"/>
    <w:rsid w:val="003A3BAA"/>
    <w:rsid w:val="003A71EC"/>
    <w:rsid w:val="003A7863"/>
    <w:rsid w:val="003B00FA"/>
    <w:rsid w:val="003B13BC"/>
    <w:rsid w:val="003B1B3F"/>
    <w:rsid w:val="003B1B6B"/>
    <w:rsid w:val="003B201C"/>
    <w:rsid w:val="003B2278"/>
    <w:rsid w:val="003B2A5A"/>
    <w:rsid w:val="003B3FAE"/>
    <w:rsid w:val="003B5FC2"/>
    <w:rsid w:val="003B63D2"/>
    <w:rsid w:val="003B6580"/>
    <w:rsid w:val="003C0BA5"/>
    <w:rsid w:val="003C0FEB"/>
    <w:rsid w:val="003C15F5"/>
    <w:rsid w:val="003C25EB"/>
    <w:rsid w:val="003C3709"/>
    <w:rsid w:val="003C4190"/>
    <w:rsid w:val="003C4481"/>
    <w:rsid w:val="003C5C4F"/>
    <w:rsid w:val="003C7251"/>
    <w:rsid w:val="003D0562"/>
    <w:rsid w:val="003D0A31"/>
    <w:rsid w:val="003D2B45"/>
    <w:rsid w:val="003D4608"/>
    <w:rsid w:val="003D6123"/>
    <w:rsid w:val="003D6492"/>
    <w:rsid w:val="003E09FF"/>
    <w:rsid w:val="003E49D4"/>
    <w:rsid w:val="003E6129"/>
    <w:rsid w:val="003E6852"/>
    <w:rsid w:val="003F0A5E"/>
    <w:rsid w:val="003F0B87"/>
    <w:rsid w:val="003F2425"/>
    <w:rsid w:val="003F25C1"/>
    <w:rsid w:val="003F3602"/>
    <w:rsid w:val="003F3735"/>
    <w:rsid w:val="003F3F27"/>
    <w:rsid w:val="003F6F61"/>
    <w:rsid w:val="003F7130"/>
    <w:rsid w:val="003F75BA"/>
    <w:rsid w:val="003F77BC"/>
    <w:rsid w:val="00403457"/>
    <w:rsid w:val="00403907"/>
    <w:rsid w:val="00406C87"/>
    <w:rsid w:val="004071AD"/>
    <w:rsid w:val="00411251"/>
    <w:rsid w:val="004154AB"/>
    <w:rsid w:val="004154FA"/>
    <w:rsid w:val="00416165"/>
    <w:rsid w:val="00416D80"/>
    <w:rsid w:val="0041719F"/>
    <w:rsid w:val="00420C4E"/>
    <w:rsid w:val="00424476"/>
    <w:rsid w:val="00424483"/>
    <w:rsid w:val="00425242"/>
    <w:rsid w:val="0042570B"/>
    <w:rsid w:val="004260A6"/>
    <w:rsid w:val="00426296"/>
    <w:rsid w:val="00426375"/>
    <w:rsid w:val="004279BA"/>
    <w:rsid w:val="0043121A"/>
    <w:rsid w:val="004315C4"/>
    <w:rsid w:val="0043514A"/>
    <w:rsid w:val="004369F6"/>
    <w:rsid w:val="00440CE7"/>
    <w:rsid w:val="004426F5"/>
    <w:rsid w:val="00442B38"/>
    <w:rsid w:val="00445633"/>
    <w:rsid w:val="00446BCA"/>
    <w:rsid w:val="004501B9"/>
    <w:rsid w:val="00451245"/>
    <w:rsid w:val="00451602"/>
    <w:rsid w:val="0045198F"/>
    <w:rsid w:val="00452F86"/>
    <w:rsid w:val="0045303A"/>
    <w:rsid w:val="0045321A"/>
    <w:rsid w:val="00453D4C"/>
    <w:rsid w:val="00454397"/>
    <w:rsid w:val="00454E89"/>
    <w:rsid w:val="00456CCA"/>
    <w:rsid w:val="00457107"/>
    <w:rsid w:val="0046106E"/>
    <w:rsid w:val="00463D63"/>
    <w:rsid w:val="00464440"/>
    <w:rsid w:val="004713E4"/>
    <w:rsid w:val="00471451"/>
    <w:rsid w:val="00471E29"/>
    <w:rsid w:val="00472917"/>
    <w:rsid w:val="004734C3"/>
    <w:rsid w:val="00473F66"/>
    <w:rsid w:val="0047726B"/>
    <w:rsid w:val="00477767"/>
    <w:rsid w:val="004806BD"/>
    <w:rsid w:val="00480BB9"/>
    <w:rsid w:val="00481250"/>
    <w:rsid w:val="004820CE"/>
    <w:rsid w:val="004848D5"/>
    <w:rsid w:val="0048630D"/>
    <w:rsid w:val="00487606"/>
    <w:rsid w:val="00487FD1"/>
    <w:rsid w:val="0049415E"/>
    <w:rsid w:val="0049465A"/>
    <w:rsid w:val="00494B8C"/>
    <w:rsid w:val="00495469"/>
    <w:rsid w:val="004A23D0"/>
    <w:rsid w:val="004A25A3"/>
    <w:rsid w:val="004A48C0"/>
    <w:rsid w:val="004A760D"/>
    <w:rsid w:val="004A7B64"/>
    <w:rsid w:val="004A7D2E"/>
    <w:rsid w:val="004B28EA"/>
    <w:rsid w:val="004B3CD3"/>
    <w:rsid w:val="004B4027"/>
    <w:rsid w:val="004B6EA2"/>
    <w:rsid w:val="004C0485"/>
    <w:rsid w:val="004C427B"/>
    <w:rsid w:val="004D0895"/>
    <w:rsid w:val="004D16E4"/>
    <w:rsid w:val="004D1FBC"/>
    <w:rsid w:val="004D276E"/>
    <w:rsid w:val="004D4E35"/>
    <w:rsid w:val="004D6098"/>
    <w:rsid w:val="004D6721"/>
    <w:rsid w:val="004D74CB"/>
    <w:rsid w:val="004E026D"/>
    <w:rsid w:val="004E2208"/>
    <w:rsid w:val="004E3827"/>
    <w:rsid w:val="004E4260"/>
    <w:rsid w:val="004E51CC"/>
    <w:rsid w:val="004E561E"/>
    <w:rsid w:val="004E75D8"/>
    <w:rsid w:val="004F0937"/>
    <w:rsid w:val="004F2706"/>
    <w:rsid w:val="004F28ED"/>
    <w:rsid w:val="004F2912"/>
    <w:rsid w:val="004F2A0D"/>
    <w:rsid w:val="004F4E41"/>
    <w:rsid w:val="00500484"/>
    <w:rsid w:val="0050152F"/>
    <w:rsid w:val="00502282"/>
    <w:rsid w:val="00506215"/>
    <w:rsid w:val="00507134"/>
    <w:rsid w:val="005106F3"/>
    <w:rsid w:val="00511091"/>
    <w:rsid w:val="00512136"/>
    <w:rsid w:val="00513FE1"/>
    <w:rsid w:val="00516224"/>
    <w:rsid w:val="005172E0"/>
    <w:rsid w:val="00517B1C"/>
    <w:rsid w:val="00520F7A"/>
    <w:rsid w:val="00521699"/>
    <w:rsid w:val="00521FA0"/>
    <w:rsid w:val="005223C2"/>
    <w:rsid w:val="00525831"/>
    <w:rsid w:val="0052716D"/>
    <w:rsid w:val="005279BA"/>
    <w:rsid w:val="005343A8"/>
    <w:rsid w:val="0053462C"/>
    <w:rsid w:val="0053649B"/>
    <w:rsid w:val="00540303"/>
    <w:rsid w:val="005414E9"/>
    <w:rsid w:val="00541C34"/>
    <w:rsid w:val="005447D0"/>
    <w:rsid w:val="00544BD4"/>
    <w:rsid w:val="005464FC"/>
    <w:rsid w:val="00550075"/>
    <w:rsid w:val="00550C3A"/>
    <w:rsid w:val="00551440"/>
    <w:rsid w:val="005521F5"/>
    <w:rsid w:val="005523F8"/>
    <w:rsid w:val="00561F3F"/>
    <w:rsid w:val="00563F84"/>
    <w:rsid w:val="005704DE"/>
    <w:rsid w:val="00571293"/>
    <w:rsid w:val="005722AF"/>
    <w:rsid w:val="005731FC"/>
    <w:rsid w:val="00573FB1"/>
    <w:rsid w:val="00574863"/>
    <w:rsid w:val="00574A80"/>
    <w:rsid w:val="00575FC5"/>
    <w:rsid w:val="00575FDB"/>
    <w:rsid w:val="00576696"/>
    <w:rsid w:val="00576F79"/>
    <w:rsid w:val="0058020F"/>
    <w:rsid w:val="00580EAC"/>
    <w:rsid w:val="005827B8"/>
    <w:rsid w:val="005840CE"/>
    <w:rsid w:val="005859CD"/>
    <w:rsid w:val="00585A84"/>
    <w:rsid w:val="00586716"/>
    <w:rsid w:val="00586DA9"/>
    <w:rsid w:val="00590EC3"/>
    <w:rsid w:val="005917DA"/>
    <w:rsid w:val="00591989"/>
    <w:rsid w:val="005924CA"/>
    <w:rsid w:val="005931DB"/>
    <w:rsid w:val="00593EC6"/>
    <w:rsid w:val="00594DC0"/>
    <w:rsid w:val="00597EF5"/>
    <w:rsid w:val="005A1524"/>
    <w:rsid w:val="005A2CB8"/>
    <w:rsid w:val="005A2DB4"/>
    <w:rsid w:val="005A43EA"/>
    <w:rsid w:val="005A46F7"/>
    <w:rsid w:val="005A4A5F"/>
    <w:rsid w:val="005A4AE0"/>
    <w:rsid w:val="005A4DE7"/>
    <w:rsid w:val="005A6451"/>
    <w:rsid w:val="005A7714"/>
    <w:rsid w:val="005A7FE1"/>
    <w:rsid w:val="005B189C"/>
    <w:rsid w:val="005B2B2F"/>
    <w:rsid w:val="005B2F4A"/>
    <w:rsid w:val="005B30DA"/>
    <w:rsid w:val="005B44B8"/>
    <w:rsid w:val="005B47D5"/>
    <w:rsid w:val="005B7BB8"/>
    <w:rsid w:val="005B7C2D"/>
    <w:rsid w:val="005C074D"/>
    <w:rsid w:val="005C2ED7"/>
    <w:rsid w:val="005C44F6"/>
    <w:rsid w:val="005C5325"/>
    <w:rsid w:val="005C7D9F"/>
    <w:rsid w:val="005D77E2"/>
    <w:rsid w:val="005D7B63"/>
    <w:rsid w:val="005E35E6"/>
    <w:rsid w:val="005E3E9D"/>
    <w:rsid w:val="005E42DE"/>
    <w:rsid w:val="005E44FE"/>
    <w:rsid w:val="005E6EF0"/>
    <w:rsid w:val="005E763F"/>
    <w:rsid w:val="005F2B72"/>
    <w:rsid w:val="005F2CA6"/>
    <w:rsid w:val="005F3817"/>
    <w:rsid w:val="005F41A2"/>
    <w:rsid w:val="005F5487"/>
    <w:rsid w:val="005F5AEE"/>
    <w:rsid w:val="00601694"/>
    <w:rsid w:val="00603A45"/>
    <w:rsid w:val="00606833"/>
    <w:rsid w:val="0061094A"/>
    <w:rsid w:val="006115C1"/>
    <w:rsid w:val="00612ADA"/>
    <w:rsid w:val="00615F5A"/>
    <w:rsid w:val="00615FEA"/>
    <w:rsid w:val="006175E9"/>
    <w:rsid w:val="00625426"/>
    <w:rsid w:val="00626B6E"/>
    <w:rsid w:val="00631713"/>
    <w:rsid w:val="00631F5B"/>
    <w:rsid w:val="00632888"/>
    <w:rsid w:val="0063418A"/>
    <w:rsid w:val="00634C6E"/>
    <w:rsid w:val="00635B19"/>
    <w:rsid w:val="00635DC2"/>
    <w:rsid w:val="006405BD"/>
    <w:rsid w:val="00640FC6"/>
    <w:rsid w:val="0064123B"/>
    <w:rsid w:val="00641E2D"/>
    <w:rsid w:val="0064206F"/>
    <w:rsid w:val="006428D0"/>
    <w:rsid w:val="006430AC"/>
    <w:rsid w:val="0064552C"/>
    <w:rsid w:val="0064590D"/>
    <w:rsid w:val="0064756E"/>
    <w:rsid w:val="006477E1"/>
    <w:rsid w:val="006536AC"/>
    <w:rsid w:val="006573AC"/>
    <w:rsid w:val="00657BAE"/>
    <w:rsid w:val="006615C8"/>
    <w:rsid w:val="00661658"/>
    <w:rsid w:val="006626EC"/>
    <w:rsid w:val="006646BE"/>
    <w:rsid w:val="006647A8"/>
    <w:rsid w:val="00664E5A"/>
    <w:rsid w:val="00665F41"/>
    <w:rsid w:val="00665FAC"/>
    <w:rsid w:val="006668EA"/>
    <w:rsid w:val="00666B7D"/>
    <w:rsid w:val="00667170"/>
    <w:rsid w:val="00667218"/>
    <w:rsid w:val="00667720"/>
    <w:rsid w:val="006703D0"/>
    <w:rsid w:val="006704C3"/>
    <w:rsid w:val="00673B74"/>
    <w:rsid w:val="00673EFA"/>
    <w:rsid w:val="00681937"/>
    <w:rsid w:val="00681C32"/>
    <w:rsid w:val="006869B8"/>
    <w:rsid w:val="00686DDD"/>
    <w:rsid w:val="00691C19"/>
    <w:rsid w:val="00692D50"/>
    <w:rsid w:val="00694042"/>
    <w:rsid w:val="00694192"/>
    <w:rsid w:val="00695C5D"/>
    <w:rsid w:val="00695E1A"/>
    <w:rsid w:val="00696C24"/>
    <w:rsid w:val="006A0551"/>
    <w:rsid w:val="006A05E3"/>
    <w:rsid w:val="006A0763"/>
    <w:rsid w:val="006A076B"/>
    <w:rsid w:val="006A180A"/>
    <w:rsid w:val="006A2662"/>
    <w:rsid w:val="006B3189"/>
    <w:rsid w:val="006B3803"/>
    <w:rsid w:val="006B4F27"/>
    <w:rsid w:val="006B5999"/>
    <w:rsid w:val="006B59BC"/>
    <w:rsid w:val="006C3698"/>
    <w:rsid w:val="006C4F42"/>
    <w:rsid w:val="006C57B1"/>
    <w:rsid w:val="006C65DF"/>
    <w:rsid w:val="006C7116"/>
    <w:rsid w:val="006C7A40"/>
    <w:rsid w:val="006D095B"/>
    <w:rsid w:val="006D097E"/>
    <w:rsid w:val="006D23A4"/>
    <w:rsid w:val="006D2C73"/>
    <w:rsid w:val="006D2CBF"/>
    <w:rsid w:val="006D37E9"/>
    <w:rsid w:val="006D3AAE"/>
    <w:rsid w:val="006D58B9"/>
    <w:rsid w:val="006E0F36"/>
    <w:rsid w:val="006E2442"/>
    <w:rsid w:val="006E3197"/>
    <w:rsid w:val="006E3C59"/>
    <w:rsid w:val="006E54F3"/>
    <w:rsid w:val="006E5DB7"/>
    <w:rsid w:val="006E7AE0"/>
    <w:rsid w:val="006F1631"/>
    <w:rsid w:val="006F1AB9"/>
    <w:rsid w:val="006F2142"/>
    <w:rsid w:val="006F2144"/>
    <w:rsid w:val="006F2747"/>
    <w:rsid w:val="006F36FF"/>
    <w:rsid w:val="006F39A0"/>
    <w:rsid w:val="006F3B58"/>
    <w:rsid w:val="006F47AD"/>
    <w:rsid w:val="006F71FA"/>
    <w:rsid w:val="007008FA"/>
    <w:rsid w:val="00700D7C"/>
    <w:rsid w:val="00701FC7"/>
    <w:rsid w:val="00702C62"/>
    <w:rsid w:val="00703170"/>
    <w:rsid w:val="0070351A"/>
    <w:rsid w:val="00704384"/>
    <w:rsid w:val="00705B17"/>
    <w:rsid w:val="00705B95"/>
    <w:rsid w:val="007069A1"/>
    <w:rsid w:val="00706B23"/>
    <w:rsid w:val="00711475"/>
    <w:rsid w:val="007123D1"/>
    <w:rsid w:val="0071322F"/>
    <w:rsid w:val="007132EC"/>
    <w:rsid w:val="007135F1"/>
    <w:rsid w:val="00713791"/>
    <w:rsid w:val="007143D5"/>
    <w:rsid w:val="00715762"/>
    <w:rsid w:val="00715EDA"/>
    <w:rsid w:val="00717F4A"/>
    <w:rsid w:val="00721957"/>
    <w:rsid w:val="00722224"/>
    <w:rsid w:val="00722729"/>
    <w:rsid w:val="007229A8"/>
    <w:rsid w:val="00722FB5"/>
    <w:rsid w:val="0072383C"/>
    <w:rsid w:val="0072426C"/>
    <w:rsid w:val="007252DD"/>
    <w:rsid w:val="00726347"/>
    <w:rsid w:val="00726C5B"/>
    <w:rsid w:val="00726E1C"/>
    <w:rsid w:val="00726F4D"/>
    <w:rsid w:val="00727E3E"/>
    <w:rsid w:val="0073005A"/>
    <w:rsid w:val="0073023B"/>
    <w:rsid w:val="00736405"/>
    <w:rsid w:val="00736477"/>
    <w:rsid w:val="007373E9"/>
    <w:rsid w:val="00741C51"/>
    <w:rsid w:val="0074429C"/>
    <w:rsid w:val="007444F1"/>
    <w:rsid w:val="007473E3"/>
    <w:rsid w:val="007478B1"/>
    <w:rsid w:val="00750C97"/>
    <w:rsid w:val="00750FFC"/>
    <w:rsid w:val="0075124E"/>
    <w:rsid w:val="00752774"/>
    <w:rsid w:val="00753AF6"/>
    <w:rsid w:val="00753CC9"/>
    <w:rsid w:val="00754CC6"/>
    <w:rsid w:val="007556A5"/>
    <w:rsid w:val="007556B6"/>
    <w:rsid w:val="007564A5"/>
    <w:rsid w:val="00760587"/>
    <w:rsid w:val="00760AC6"/>
    <w:rsid w:val="007622B3"/>
    <w:rsid w:val="0076321C"/>
    <w:rsid w:val="00764478"/>
    <w:rsid w:val="00767A6F"/>
    <w:rsid w:val="00770C66"/>
    <w:rsid w:val="00770DC8"/>
    <w:rsid w:val="00773141"/>
    <w:rsid w:val="0077331E"/>
    <w:rsid w:val="007737C8"/>
    <w:rsid w:val="00774B54"/>
    <w:rsid w:val="00775445"/>
    <w:rsid w:val="00782B2D"/>
    <w:rsid w:val="007834E3"/>
    <w:rsid w:val="00784B63"/>
    <w:rsid w:val="00786926"/>
    <w:rsid w:val="007877D6"/>
    <w:rsid w:val="007878A9"/>
    <w:rsid w:val="00793182"/>
    <w:rsid w:val="007938D0"/>
    <w:rsid w:val="007A0CCB"/>
    <w:rsid w:val="007A2368"/>
    <w:rsid w:val="007A2BEF"/>
    <w:rsid w:val="007A2D91"/>
    <w:rsid w:val="007A3387"/>
    <w:rsid w:val="007A4ECB"/>
    <w:rsid w:val="007A63AC"/>
    <w:rsid w:val="007A70D8"/>
    <w:rsid w:val="007B0915"/>
    <w:rsid w:val="007B1D5A"/>
    <w:rsid w:val="007B2DCF"/>
    <w:rsid w:val="007B62FA"/>
    <w:rsid w:val="007B6DA2"/>
    <w:rsid w:val="007C0B75"/>
    <w:rsid w:val="007C0C9A"/>
    <w:rsid w:val="007C2B66"/>
    <w:rsid w:val="007C317C"/>
    <w:rsid w:val="007C3273"/>
    <w:rsid w:val="007C5423"/>
    <w:rsid w:val="007C619E"/>
    <w:rsid w:val="007C6552"/>
    <w:rsid w:val="007C6793"/>
    <w:rsid w:val="007D001B"/>
    <w:rsid w:val="007D05FC"/>
    <w:rsid w:val="007D0904"/>
    <w:rsid w:val="007D0B6E"/>
    <w:rsid w:val="007D6090"/>
    <w:rsid w:val="007D6D7F"/>
    <w:rsid w:val="007D78AF"/>
    <w:rsid w:val="007D792E"/>
    <w:rsid w:val="007E0950"/>
    <w:rsid w:val="007E25BE"/>
    <w:rsid w:val="007E296B"/>
    <w:rsid w:val="007E2F6E"/>
    <w:rsid w:val="007E68FF"/>
    <w:rsid w:val="007E6DD9"/>
    <w:rsid w:val="007E79C2"/>
    <w:rsid w:val="007F037D"/>
    <w:rsid w:val="007F1A4F"/>
    <w:rsid w:val="007F27D0"/>
    <w:rsid w:val="007F2CC3"/>
    <w:rsid w:val="007F4348"/>
    <w:rsid w:val="007F4384"/>
    <w:rsid w:val="007F51A8"/>
    <w:rsid w:val="007F5E66"/>
    <w:rsid w:val="007F6DD1"/>
    <w:rsid w:val="00802085"/>
    <w:rsid w:val="008030F2"/>
    <w:rsid w:val="00803BAF"/>
    <w:rsid w:val="008054F2"/>
    <w:rsid w:val="008055FB"/>
    <w:rsid w:val="0080653B"/>
    <w:rsid w:val="00806F37"/>
    <w:rsid w:val="00807056"/>
    <w:rsid w:val="008071E7"/>
    <w:rsid w:val="0080775F"/>
    <w:rsid w:val="00807D17"/>
    <w:rsid w:val="00812B73"/>
    <w:rsid w:val="00812BB3"/>
    <w:rsid w:val="00812CB0"/>
    <w:rsid w:val="00812EC2"/>
    <w:rsid w:val="0081486B"/>
    <w:rsid w:val="00814FAA"/>
    <w:rsid w:val="00815892"/>
    <w:rsid w:val="0081782D"/>
    <w:rsid w:val="00821684"/>
    <w:rsid w:val="00821E53"/>
    <w:rsid w:val="008224ED"/>
    <w:rsid w:val="008232AB"/>
    <w:rsid w:val="0082465C"/>
    <w:rsid w:val="00826EA0"/>
    <w:rsid w:val="0082707E"/>
    <w:rsid w:val="008305D7"/>
    <w:rsid w:val="008320BF"/>
    <w:rsid w:val="00834499"/>
    <w:rsid w:val="008356A7"/>
    <w:rsid w:val="00841117"/>
    <w:rsid w:val="008424BF"/>
    <w:rsid w:val="008443F5"/>
    <w:rsid w:val="00844408"/>
    <w:rsid w:val="00846274"/>
    <w:rsid w:val="00846CA5"/>
    <w:rsid w:val="00847E37"/>
    <w:rsid w:val="00850126"/>
    <w:rsid w:val="00852060"/>
    <w:rsid w:val="00856A2C"/>
    <w:rsid w:val="00857921"/>
    <w:rsid w:val="008605D1"/>
    <w:rsid w:val="0086227C"/>
    <w:rsid w:val="0086371F"/>
    <w:rsid w:val="008668AF"/>
    <w:rsid w:val="00867117"/>
    <w:rsid w:val="00867509"/>
    <w:rsid w:val="00867CBA"/>
    <w:rsid w:val="00870978"/>
    <w:rsid w:val="00870E11"/>
    <w:rsid w:val="0087109E"/>
    <w:rsid w:val="00872563"/>
    <w:rsid w:val="00875895"/>
    <w:rsid w:val="0087703C"/>
    <w:rsid w:val="008770E0"/>
    <w:rsid w:val="008771FE"/>
    <w:rsid w:val="0088148A"/>
    <w:rsid w:val="00883E7A"/>
    <w:rsid w:val="00886664"/>
    <w:rsid w:val="00886C14"/>
    <w:rsid w:val="0089025D"/>
    <w:rsid w:val="0089066C"/>
    <w:rsid w:val="00893951"/>
    <w:rsid w:val="008949B6"/>
    <w:rsid w:val="00894D47"/>
    <w:rsid w:val="008A0792"/>
    <w:rsid w:val="008A10BC"/>
    <w:rsid w:val="008A15F3"/>
    <w:rsid w:val="008A4537"/>
    <w:rsid w:val="008A6A8B"/>
    <w:rsid w:val="008A7F43"/>
    <w:rsid w:val="008B2E3A"/>
    <w:rsid w:val="008B5186"/>
    <w:rsid w:val="008B681D"/>
    <w:rsid w:val="008B7B00"/>
    <w:rsid w:val="008B7FB1"/>
    <w:rsid w:val="008C02D7"/>
    <w:rsid w:val="008C0E2C"/>
    <w:rsid w:val="008C2EDC"/>
    <w:rsid w:val="008C329B"/>
    <w:rsid w:val="008C3BA1"/>
    <w:rsid w:val="008C6063"/>
    <w:rsid w:val="008C6272"/>
    <w:rsid w:val="008C7648"/>
    <w:rsid w:val="008D1171"/>
    <w:rsid w:val="008D1B6C"/>
    <w:rsid w:val="008D1DE5"/>
    <w:rsid w:val="008D348B"/>
    <w:rsid w:val="008D486A"/>
    <w:rsid w:val="008D552A"/>
    <w:rsid w:val="008D5843"/>
    <w:rsid w:val="008D78A0"/>
    <w:rsid w:val="008E2627"/>
    <w:rsid w:val="008E300B"/>
    <w:rsid w:val="008E38A9"/>
    <w:rsid w:val="008E61CF"/>
    <w:rsid w:val="008E627A"/>
    <w:rsid w:val="008E6363"/>
    <w:rsid w:val="008E7428"/>
    <w:rsid w:val="008F1069"/>
    <w:rsid w:val="008F1930"/>
    <w:rsid w:val="008F2ED5"/>
    <w:rsid w:val="008F36F5"/>
    <w:rsid w:val="008F3997"/>
    <w:rsid w:val="008F6A20"/>
    <w:rsid w:val="008F6B1A"/>
    <w:rsid w:val="008F7FCB"/>
    <w:rsid w:val="00900031"/>
    <w:rsid w:val="00900A06"/>
    <w:rsid w:val="00901C7D"/>
    <w:rsid w:val="00902D0F"/>
    <w:rsid w:val="009033AD"/>
    <w:rsid w:val="00904D59"/>
    <w:rsid w:val="00905928"/>
    <w:rsid w:val="00905FEF"/>
    <w:rsid w:val="00906A5E"/>
    <w:rsid w:val="00906E2E"/>
    <w:rsid w:val="00906FB9"/>
    <w:rsid w:val="00910536"/>
    <w:rsid w:val="00912009"/>
    <w:rsid w:val="00912142"/>
    <w:rsid w:val="00914264"/>
    <w:rsid w:val="00914854"/>
    <w:rsid w:val="00915D67"/>
    <w:rsid w:val="00916058"/>
    <w:rsid w:val="00916CC1"/>
    <w:rsid w:val="009176EF"/>
    <w:rsid w:val="00917704"/>
    <w:rsid w:val="00930031"/>
    <w:rsid w:val="009304A6"/>
    <w:rsid w:val="00931828"/>
    <w:rsid w:val="009326DA"/>
    <w:rsid w:val="00932FCB"/>
    <w:rsid w:val="0094068D"/>
    <w:rsid w:val="00942232"/>
    <w:rsid w:val="0095012C"/>
    <w:rsid w:val="00952FAB"/>
    <w:rsid w:val="00953E55"/>
    <w:rsid w:val="009551D3"/>
    <w:rsid w:val="00955924"/>
    <w:rsid w:val="009620F1"/>
    <w:rsid w:val="00962E7C"/>
    <w:rsid w:val="00962FFA"/>
    <w:rsid w:val="00966F29"/>
    <w:rsid w:val="0096742D"/>
    <w:rsid w:val="009719FB"/>
    <w:rsid w:val="00971F05"/>
    <w:rsid w:val="009775E4"/>
    <w:rsid w:val="0098222A"/>
    <w:rsid w:val="00984739"/>
    <w:rsid w:val="00985B88"/>
    <w:rsid w:val="0098604D"/>
    <w:rsid w:val="00986B49"/>
    <w:rsid w:val="00987F9D"/>
    <w:rsid w:val="009900ED"/>
    <w:rsid w:val="009914EE"/>
    <w:rsid w:val="00991FF7"/>
    <w:rsid w:val="009941E9"/>
    <w:rsid w:val="0099474D"/>
    <w:rsid w:val="009A07EC"/>
    <w:rsid w:val="009A14FF"/>
    <w:rsid w:val="009A1B61"/>
    <w:rsid w:val="009A38BA"/>
    <w:rsid w:val="009A4A2A"/>
    <w:rsid w:val="009A54C6"/>
    <w:rsid w:val="009A5887"/>
    <w:rsid w:val="009A6261"/>
    <w:rsid w:val="009A64E0"/>
    <w:rsid w:val="009A6B77"/>
    <w:rsid w:val="009A7D19"/>
    <w:rsid w:val="009B129F"/>
    <w:rsid w:val="009B1FAF"/>
    <w:rsid w:val="009B3301"/>
    <w:rsid w:val="009B3499"/>
    <w:rsid w:val="009B39F9"/>
    <w:rsid w:val="009B3F3F"/>
    <w:rsid w:val="009B44CF"/>
    <w:rsid w:val="009B4DBB"/>
    <w:rsid w:val="009B566A"/>
    <w:rsid w:val="009B63D7"/>
    <w:rsid w:val="009B6F8F"/>
    <w:rsid w:val="009C157E"/>
    <w:rsid w:val="009C2ABC"/>
    <w:rsid w:val="009C2CAD"/>
    <w:rsid w:val="009C356D"/>
    <w:rsid w:val="009C5139"/>
    <w:rsid w:val="009C5406"/>
    <w:rsid w:val="009C7703"/>
    <w:rsid w:val="009D071B"/>
    <w:rsid w:val="009D0B59"/>
    <w:rsid w:val="009D1644"/>
    <w:rsid w:val="009D2602"/>
    <w:rsid w:val="009D40D0"/>
    <w:rsid w:val="009D4C0D"/>
    <w:rsid w:val="009D5B0E"/>
    <w:rsid w:val="009D679A"/>
    <w:rsid w:val="009D7985"/>
    <w:rsid w:val="009D7E31"/>
    <w:rsid w:val="009E0A26"/>
    <w:rsid w:val="009E0F7B"/>
    <w:rsid w:val="009E1073"/>
    <w:rsid w:val="009E2DE8"/>
    <w:rsid w:val="009E4F82"/>
    <w:rsid w:val="009E50D8"/>
    <w:rsid w:val="009E6AF9"/>
    <w:rsid w:val="009F0556"/>
    <w:rsid w:val="009F18E1"/>
    <w:rsid w:val="009F2AEE"/>
    <w:rsid w:val="009F4891"/>
    <w:rsid w:val="009F5081"/>
    <w:rsid w:val="009F786F"/>
    <w:rsid w:val="009F7B6B"/>
    <w:rsid w:val="00A02D49"/>
    <w:rsid w:val="00A02DE8"/>
    <w:rsid w:val="00A0317C"/>
    <w:rsid w:val="00A04EB0"/>
    <w:rsid w:val="00A075E2"/>
    <w:rsid w:val="00A13CBA"/>
    <w:rsid w:val="00A145F8"/>
    <w:rsid w:val="00A16708"/>
    <w:rsid w:val="00A17D22"/>
    <w:rsid w:val="00A224CB"/>
    <w:rsid w:val="00A2355E"/>
    <w:rsid w:val="00A23B5D"/>
    <w:rsid w:val="00A3213F"/>
    <w:rsid w:val="00A33171"/>
    <w:rsid w:val="00A345F3"/>
    <w:rsid w:val="00A34981"/>
    <w:rsid w:val="00A349F2"/>
    <w:rsid w:val="00A36071"/>
    <w:rsid w:val="00A378C4"/>
    <w:rsid w:val="00A40D7E"/>
    <w:rsid w:val="00A40DE0"/>
    <w:rsid w:val="00A41F5A"/>
    <w:rsid w:val="00A42184"/>
    <w:rsid w:val="00A433F8"/>
    <w:rsid w:val="00A43C8A"/>
    <w:rsid w:val="00A43DBA"/>
    <w:rsid w:val="00A4484E"/>
    <w:rsid w:val="00A44EA6"/>
    <w:rsid w:val="00A44EC7"/>
    <w:rsid w:val="00A45B78"/>
    <w:rsid w:val="00A5061B"/>
    <w:rsid w:val="00A51E06"/>
    <w:rsid w:val="00A52FCB"/>
    <w:rsid w:val="00A53D7E"/>
    <w:rsid w:val="00A54034"/>
    <w:rsid w:val="00A54FB3"/>
    <w:rsid w:val="00A550E6"/>
    <w:rsid w:val="00A551B7"/>
    <w:rsid w:val="00A56DAE"/>
    <w:rsid w:val="00A60118"/>
    <w:rsid w:val="00A613DD"/>
    <w:rsid w:val="00A61DC1"/>
    <w:rsid w:val="00A6266E"/>
    <w:rsid w:val="00A64F0F"/>
    <w:rsid w:val="00A65407"/>
    <w:rsid w:val="00A6671C"/>
    <w:rsid w:val="00A67E7A"/>
    <w:rsid w:val="00A72DAD"/>
    <w:rsid w:val="00A73B69"/>
    <w:rsid w:val="00A7443B"/>
    <w:rsid w:val="00A75A0D"/>
    <w:rsid w:val="00A75A8F"/>
    <w:rsid w:val="00A75E2A"/>
    <w:rsid w:val="00A8134E"/>
    <w:rsid w:val="00A82C84"/>
    <w:rsid w:val="00A83A5B"/>
    <w:rsid w:val="00A84123"/>
    <w:rsid w:val="00A8532D"/>
    <w:rsid w:val="00A86DF5"/>
    <w:rsid w:val="00A87C25"/>
    <w:rsid w:val="00A9041F"/>
    <w:rsid w:val="00A92CA3"/>
    <w:rsid w:val="00A97AD7"/>
    <w:rsid w:val="00AA0710"/>
    <w:rsid w:val="00AA11DE"/>
    <w:rsid w:val="00AA219E"/>
    <w:rsid w:val="00AA290F"/>
    <w:rsid w:val="00AA2C25"/>
    <w:rsid w:val="00AA2D50"/>
    <w:rsid w:val="00AA3261"/>
    <w:rsid w:val="00AA5363"/>
    <w:rsid w:val="00AA6627"/>
    <w:rsid w:val="00AA67FC"/>
    <w:rsid w:val="00AB3277"/>
    <w:rsid w:val="00AB3B7B"/>
    <w:rsid w:val="00AB3E38"/>
    <w:rsid w:val="00AB50D9"/>
    <w:rsid w:val="00AB5509"/>
    <w:rsid w:val="00AB5BEA"/>
    <w:rsid w:val="00AB71A0"/>
    <w:rsid w:val="00AC5549"/>
    <w:rsid w:val="00AD046B"/>
    <w:rsid w:val="00AD18BC"/>
    <w:rsid w:val="00AD30F8"/>
    <w:rsid w:val="00AD3849"/>
    <w:rsid w:val="00AD38EF"/>
    <w:rsid w:val="00AD4249"/>
    <w:rsid w:val="00AD48F0"/>
    <w:rsid w:val="00AD4BAB"/>
    <w:rsid w:val="00AD58F8"/>
    <w:rsid w:val="00AD6503"/>
    <w:rsid w:val="00AD658B"/>
    <w:rsid w:val="00AD6966"/>
    <w:rsid w:val="00AD7530"/>
    <w:rsid w:val="00AD754F"/>
    <w:rsid w:val="00AD78F2"/>
    <w:rsid w:val="00AD7CC9"/>
    <w:rsid w:val="00AE1859"/>
    <w:rsid w:val="00AE2052"/>
    <w:rsid w:val="00AE2DB4"/>
    <w:rsid w:val="00AE3A7E"/>
    <w:rsid w:val="00AE4DEA"/>
    <w:rsid w:val="00AE5A78"/>
    <w:rsid w:val="00AE5F25"/>
    <w:rsid w:val="00AE630E"/>
    <w:rsid w:val="00AF4FB3"/>
    <w:rsid w:val="00AF5B68"/>
    <w:rsid w:val="00AF6E8B"/>
    <w:rsid w:val="00B0242E"/>
    <w:rsid w:val="00B0275F"/>
    <w:rsid w:val="00B02C3C"/>
    <w:rsid w:val="00B04FE3"/>
    <w:rsid w:val="00B05CB3"/>
    <w:rsid w:val="00B07D0C"/>
    <w:rsid w:val="00B1018B"/>
    <w:rsid w:val="00B11CB3"/>
    <w:rsid w:val="00B12B0D"/>
    <w:rsid w:val="00B13319"/>
    <w:rsid w:val="00B14CB8"/>
    <w:rsid w:val="00B15B68"/>
    <w:rsid w:val="00B160FE"/>
    <w:rsid w:val="00B165E7"/>
    <w:rsid w:val="00B1755C"/>
    <w:rsid w:val="00B175A4"/>
    <w:rsid w:val="00B20CCF"/>
    <w:rsid w:val="00B20FCF"/>
    <w:rsid w:val="00B23D45"/>
    <w:rsid w:val="00B24857"/>
    <w:rsid w:val="00B24F82"/>
    <w:rsid w:val="00B258EA"/>
    <w:rsid w:val="00B25DAA"/>
    <w:rsid w:val="00B33619"/>
    <w:rsid w:val="00B33B54"/>
    <w:rsid w:val="00B350E1"/>
    <w:rsid w:val="00B355E2"/>
    <w:rsid w:val="00B35DF0"/>
    <w:rsid w:val="00B3728F"/>
    <w:rsid w:val="00B40DC2"/>
    <w:rsid w:val="00B413B8"/>
    <w:rsid w:val="00B42D00"/>
    <w:rsid w:val="00B450A2"/>
    <w:rsid w:val="00B45130"/>
    <w:rsid w:val="00B45654"/>
    <w:rsid w:val="00B45C2A"/>
    <w:rsid w:val="00B4610C"/>
    <w:rsid w:val="00B46ABA"/>
    <w:rsid w:val="00B471E4"/>
    <w:rsid w:val="00B5339E"/>
    <w:rsid w:val="00B53DA1"/>
    <w:rsid w:val="00B54559"/>
    <w:rsid w:val="00B60869"/>
    <w:rsid w:val="00B61294"/>
    <w:rsid w:val="00B612FC"/>
    <w:rsid w:val="00B636E7"/>
    <w:rsid w:val="00B64A00"/>
    <w:rsid w:val="00B65F09"/>
    <w:rsid w:val="00B67F6F"/>
    <w:rsid w:val="00B718A2"/>
    <w:rsid w:val="00B732E2"/>
    <w:rsid w:val="00B75E7A"/>
    <w:rsid w:val="00B76B4C"/>
    <w:rsid w:val="00B76F0E"/>
    <w:rsid w:val="00B76F31"/>
    <w:rsid w:val="00B803A1"/>
    <w:rsid w:val="00B81A9F"/>
    <w:rsid w:val="00B82E30"/>
    <w:rsid w:val="00B84EB0"/>
    <w:rsid w:val="00B85423"/>
    <w:rsid w:val="00B869C1"/>
    <w:rsid w:val="00B87B0C"/>
    <w:rsid w:val="00B93420"/>
    <w:rsid w:val="00B934D0"/>
    <w:rsid w:val="00B936D4"/>
    <w:rsid w:val="00B94055"/>
    <w:rsid w:val="00B940C0"/>
    <w:rsid w:val="00B947F4"/>
    <w:rsid w:val="00B965CF"/>
    <w:rsid w:val="00B97CAE"/>
    <w:rsid w:val="00BA0616"/>
    <w:rsid w:val="00BA0FDE"/>
    <w:rsid w:val="00BA0FF0"/>
    <w:rsid w:val="00BA1F31"/>
    <w:rsid w:val="00BA54AD"/>
    <w:rsid w:val="00BA5B69"/>
    <w:rsid w:val="00BA6484"/>
    <w:rsid w:val="00BA65A8"/>
    <w:rsid w:val="00BA7CDA"/>
    <w:rsid w:val="00BB1A44"/>
    <w:rsid w:val="00BB2235"/>
    <w:rsid w:val="00BB2B58"/>
    <w:rsid w:val="00BB3960"/>
    <w:rsid w:val="00BB4C36"/>
    <w:rsid w:val="00BB4D26"/>
    <w:rsid w:val="00BB519C"/>
    <w:rsid w:val="00BB657C"/>
    <w:rsid w:val="00BB7F8D"/>
    <w:rsid w:val="00BC04CA"/>
    <w:rsid w:val="00BC09CC"/>
    <w:rsid w:val="00BC0F88"/>
    <w:rsid w:val="00BC3596"/>
    <w:rsid w:val="00BC3768"/>
    <w:rsid w:val="00BC405A"/>
    <w:rsid w:val="00BD10EF"/>
    <w:rsid w:val="00BD17D5"/>
    <w:rsid w:val="00BD250A"/>
    <w:rsid w:val="00BD305F"/>
    <w:rsid w:val="00BD6853"/>
    <w:rsid w:val="00BD6BA6"/>
    <w:rsid w:val="00BD7587"/>
    <w:rsid w:val="00BD7C58"/>
    <w:rsid w:val="00BE0204"/>
    <w:rsid w:val="00BE1260"/>
    <w:rsid w:val="00BE410A"/>
    <w:rsid w:val="00BE41B5"/>
    <w:rsid w:val="00BE42CE"/>
    <w:rsid w:val="00BE6C95"/>
    <w:rsid w:val="00BF14D8"/>
    <w:rsid w:val="00BF1BC5"/>
    <w:rsid w:val="00BF1E7A"/>
    <w:rsid w:val="00BF3383"/>
    <w:rsid w:val="00BF377A"/>
    <w:rsid w:val="00BF44CC"/>
    <w:rsid w:val="00BF50E7"/>
    <w:rsid w:val="00C03DB5"/>
    <w:rsid w:val="00C049E4"/>
    <w:rsid w:val="00C06479"/>
    <w:rsid w:val="00C06C96"/>
    <w:rsid w:val="00C07096"/>
    <w:rsid w:val="00C07555"/>
    <w:rsid w:val="00C11777"/>
    <w:rsid w:val="00C12048"/>
    <w:rsid w:val="00C13BF4"/>
    <w:rsid w:val="00C15062"/>
    <w:rsid w:val="00C1589B"/>
    <w:rsid w:val="00C15DD3"/>
    <w:rsid w:val="00C16B43"/>
    <w:rsid w:val="00C201E9"/>
    <w:rsid w:val="00C24A87"/>
    <w:rsid w:val="00C259BA"/>
    <w:rsid w:val="00C26A55"/>
    <w:rsid w:val="00C26ECF"/>
    <w:rsid w:val="00C2798D"/>
    <w:rsid w:val="00C303A3"/>
    <w:rsid w:val="00C317DF"/>
    <w:rsid w:val="00C32404"/>
    <w:rsid w:val="00C326EC"/>
    <w:rsid w:val="00C3488C"/>
    <w:rsid w:val="00C3689D"/>
    <w:rsid w:val="00C377EE"/>
    <w:rsid w:val="00C40611"/>
    <w:rsid w:val="00C46B2E"/>
    <w:rsid w:val="00C47161"/>
    <w:rsid w:val="00C504C2"/>
    <w:rsid w:val="00C512CA"/>
    <w:rsid w:val="00C51404"/>
    <w:rsid w:val="00C521A1"/>
    <w:rsid w:val="00C53A4D"/>
    <w:rsid w:val="00C53EFE"/>
    <w:rsid w:val="00C549DF"/>
    <w:rsid w:val="00C54E60"/>
    <w:rsid w:val="00C56E31"/>
    <w:rsid w:val="00C57465"/>
    <w:rsid w:val="00C578B5"/>
    <w:rsid w:val="00C57A18"/>
    <w:rsid w:val="00C60925"/>
    <w:rsid w:val="00C6100B"/>
    <w:rsid w:val="00C64283"/>
    <w:rsid w:val="00C647AE"/>
    <w:rsid w:val="00C64CC0"/>
    <w:rsid w:val="00C66489"/>
    <w:rsid w:val="00C66B66"/>
    <w:rsid w:val="00C6707D"/>
    <w:rsid w:val="00C673C6"/>
    <w:rsid w:val="00C721A1"/>
    <w:rsid w:val="00C72787"/>
    <w:rsid w:val="00C7391B"/>
    <w:rsid w:val="00C73993"/>
    <w:rsid w:val="00C74210"/>
    <w:rsid w:val="00C752CE"/>
    <w:rsid w:val="00C77560"/>
    <w:rsid w:val="00C77DE2"/>
    <w:rsid w:val="00C82987"/>
    <w:rsid w:val="00C83593"/>
    <w:rsid w:val="00C848D5"/>
    <w:rsid w:val="00C85975"/>
    <w:rsid w:val="00C86160"/>
    <w:rsid w:val="00C865E5"/>
    <w:rsid w:val="00C86AE1"/>
    <w:rsid w:val="00C9043C"/>
    <w:rsid w:val="00C925CF"/>
    <w:rsid w:val="00C92A95"/>
    <w:rsid w:val="00C9328A"/>
    <w:rsid w:val="00C93FD2"/>
    <w:rsid w:val="00C94183"/>
    <w:rsid w:val="00C95281"/>
    <w:rsid w:val="00C95596"/>
    <w:rsid w:val="00C9585F"/>
    <w:rsid w:val="00C96997"/>
    <w:rsid w:val="00C972DA"/>
    <w:rsid w:val="00CA13A9"/>
    <w:rsid w:val="00CA28BC"/>
    <w:rsid w:val="00CA39BD"/>
    <w:rsid w:val="00CA3F73"/>
    <w:rsid w:val="00CA4E99"/>
    <w:rsid w:val="00CA69E4"/>
    <w:rsid w:val="00CA755D"/>
    <w:rsid w:val="00CB0596"/>
    <w:rsid w:val="00CB47EE"/>
    <w:rsid w:val="00CB4817"/>
    <w:rsid w:val="00CB4BE0"/>
    <w:rsid w:val="00CB6354"/>
    <w:rsid w:val="00CB63A1"/>
    <w:rsid w:val="00CB7137"/>
    <w:rsid w:val="00CB720A"/>
    <w:rsid w:val="00CB7A63"/>
    <w:rsid w:val="00CC165C"/>
    <w:rsid w:val="00CC435C"/>
    <w:rsid w:val="00CC4810"/>
    <w:rsid w:val="00CC485A"/>
    <w:rsid w:val="00CC5047"/>
    <w:rsid w:val="00CC569E"/>
    <w:rsid w:val="00CC64FB"/>
    <w:rsid w:val="00CC7251"/>
    <w:rsid w:val="00CD102D"/>
    <w:rsid w:val="00CD109C"/>
    <w:rsid w:val="00CD1448"/>
    <w:rsid w:val="00CD1AD6"/>
    <w:rsid w:val="00CD2570"/>
    <w:rsid w:val="00CD2C29"/>
    <w:rsid w:val="00CD52F1"/>
    <w:rsid w:val="00CD5995"/>
    <w:rsid w:val="00CE3319"/>
    <w:rsid w:val="00CE4BF8"/>
    <w:rsid w:val="00CE68A7"/>
    <w:rsid w:val="00CE6E0F"/>
    <w:rsid w:val="00CE73CF"/>
    <w:rsid w:val="00CE7A0A"/>
    <w:rsid w:val="00CE7A19"/>
    <w:rsid w:val="00CF0C43"/>
    <w:rsid w:val="00CF1E32"/>
    <w:rsid w:val="00CF2FE4"/>
    <w:rsid w:val="00CF5E19"/>
    <w:rsid w:val="00D0125C"/>
    <w:rsid w:val="00D031FE"/>
    <w:rsid w:val="00D050F8"/>
    <w:rsid w:val="00D06432"/>
    <w:rsid w:val="00D06466"/>
    <w:rsid w:val="00D113E4"/>
    <w:rsid w:val="00D11558"/>
    <w:rsid w:val="00D11925"/>
    <w:rsid w:val="00D12860"/>
    <w:rsid w:val="00D134AB"/>
    <w:rsid w:val="00D14537"/>
    <w:rsid w:val="00D14770"/>
    <w:rsid w:val="00D153D3"/>
    <w:rsid w:val="00D166DB"/>
    <w:rsid w:val="00D16F52"/>
    <w:rsid w:val="00D21D5C"/>
    <w:rsid w:val="00D22CF1"/>
    <w:rsid w:val="00D22DF5"/>
    <w:rsid w:val="00D25CE0"/>
    <w:rsid w:val="00D2605B"/>
    <w:rsid w:val="00D260B0"/>
    <w:rsid w:val="00D266CF"/>
    <w:rsid w:val="00D26A48"/>
    <w:rsid w:val="00D30150"/>
    <w:rsid w:val="00D33AF7"/>
    <w:rsid w:val="00D348ED"/>
    <w:rsid w:val="00D35AF5"/>
    <w:rsid w:val="00D37888"/>
    <w:rsid w:val="00D4282E"/>
    <w:rsid w:val="00D428F9"/>
    <w:rsid w:val="00D44A6F"/>
    <w:rsid w:val="00D45A87"/>
    <w:rsid w:val="00D46000"/>
    <w:rsid w:val="00D466D6"/>
    <w:rsid w:val="00D47A94"/>
    <w:rsid w:val="00D53055"/>
    <w:rsid w:val="00D5551B"/>
    <w:rsid w:val="00D55D40"/>
    <w:rsid w:val="00D600B6"/>
    <w:rsid w:val="00D627FB"/>
    <w:rsid w:val="00D62BF6"/>
    <w:rsid w:val="00D6463E"/>
    <w:rsid w:val="00D717D1"/>
    <w:rsid w:val="00D72157"/>
    <w:rsid w:val="00D74000"/>
    <w:rsid w:val="00D7526D"/>
    <w:rsid w:val="00D779E5"/>
    <w:rsid w:val="00D77E5E"/>
    <w:rsid w:val="00D80AD8"/>
    <w:rsid w:val="00D81FEB"/>
    <w:rsid w:val="00D82F51"/>
    <w:rsid w:val="00D844FE"/>
    <w:rsid w:val="00D84C2B"/>
    <w:rsid w:val="00D868E9"/>
    <w:rsid w:val="00D928E4"/>
    <w:rsid w:val="00D92E98"/>
    <w:rsid w:val="00D938C9"/>
    <w:rsid w:val="00D93FEA"/>
    <w:rsid w:val="00D94B33"/>
    <w:rsid w:val="00D95C7E"/>
    <w:rsid w:val="00D977D8"/>
    <w:rsid w:val="00DA16B7"/>
    <w:rsid w:val="00DA1D69"/>
    <w:rsid w:val="00DA27DF"/>
    <w:rsid w:val="00DA466B"/>
    <w:rsid w:val="00DA4D6A"/>
    <w:rsid w:val="00DA4FF9"/>
    <w:rsid w:val="00DA5D4E"/>
    <w:rsid w:val="00DA6D61"/>
    <w:rsid w:val="00DB024E"/>
    <w:rsid w:val="00DB3284"/>
    <w:rsid w:val="00DB482D"/>
    <w:rsid w:val="00DB520F"/>
    <w:rsid w:val="00DB5ABB"/>
    <w:rsid w:val="00DB5EE3"/>
    <w:rsid w:val="00DB7749"/>
    <w:rsid w:val="00DB7F61"/>
    <w:rsid w:val="00DC1FEE"/>
    <w:rsid w:val="00DC295E"/>
    <w:rsid w:val="00DC3505"/>
    <w:rsid w:val="00DC4E7E"/>
    <w:rsid w:val="00DC5481"/>
    <w:rsid w:val="00DC600D"/>
    <w:rsid w:val="00DD223A"/>
    <w:rsid w:val="00DD2826"/>
    <w:rsid w:val="00DD34A1"/>
    <w:rsid w:val="00DD5A72"/>
    <w:rsid w:val="00DD664C"/>
    <w:rsid w:val="00DE0783"/>
    <w:rsid w:val="00DE1227"/>
    <w:rsid w:val="00DE355F"/>
    <w:rsid w:val="00DE38A6"/>
    <w:rsid w:val="00DE399D"/>
    <w:rsid w:val="00DE3C13"/>
    <w:rsid w:val="00DE412D"/>
    <w:rsid w:val="00DE4B07"/>
    <w:rsid w:val="00DF00C4"/>
    <w:rsid w:val="00DF0309"/>
    <w:rsid w:val="00DF0AF2"/>
    <w:rsid w:val="00DF45F1"/>
    <w:rsid w:val="00DF4616"/>
    <w:rsid w:val="00DF54E8"/>
    <w:rsid w:val="00DF73C5"/>
    <w:rsid w:val="00DF7752"/>
    <w:rsid w:val="00DF7FC1"/>
    <w:rsid w:val="00E006ED"/>
    <w:rsid w:val="00E01CD1"/>
    <w:rsid w:val="00E02FD7"/>
    <w:rsid w:val="00E0506E"/>
    <w:rsid w:val="00E0643C"/>
    <w:rsid w:val="00E066EF"/>
    <w:rsid w:val="00E102E8"/>
    <w:rsid w:val="00E11FF7"/>
    <w:rsid w:val="00E13548"/>
    <w:rsid w:val="00E13AA8"/>
    <w:rsid w:val="00E17661"/>
    <w:rsid w:val="00E17698"/>
    <w:rsid w:val="00E20A7D"/>
    <w:rsid w:val="00E21222"/>
    <w:rsid w:val="00E2169D"/>
    <w:rsid w:val="00E22408"/>
    <w:rsid w:val="00E2250A"/>
    <w:rsid w:val="00E22C63"/>
    <w:rsid w:val="00E23136"/>
    <w:rsid w:val="00E2452B"/>
    <w:rsid w:val="00E25065"/>
    <w:rsid w:val="00E26EC1"/>
    <w:rsid w:val="00E2707D"/>
    <w:rsid w:val="00E2713A"/>
    <w:rsid w:val="00E2730A"/>
    <w:rsid w:val="00E27B84"/>
    <w:rsid w:val="00E30461"/>
    <w:rsid w:val="00E323DB"/>
    <w:rsid w:val="00E33DCE"/>
    <w:rsid w:val="00E343BC"/>
    <w:rsid w:val="00E35720"/>
    <w:rsid w:val="00E375A3"/>
    <w:rsid w:val="00E46048"/>
    <w:rsid w:val="00E47BC7"/>
    <w:rsid w:val="00E50AD8"/>
    <w:rsid w:val="00E5446F"/>
    <w:rsid w:val="00E574FA"/>
    <w:rsid w:val="00E612D7"/>
    <w:rsid w:val="00E6181B"/>
    <w:rsid w:val="00E651A7"/>
    <w:rsid w:val="00E65D0D"/>
    <w:rsid w:val="00E65D43"/>
    <w:rsid w:val="00E663CF"/>
    <w:rsid w:val="00E6761C"/>
    <w:rsid w:val="00E67737"/>
    <w:rsid w:val="00E709CF"/>
    <w:rsid w:val="00E71356"/>
    <w:rsid w:val="00E74E57"/>
    <w:rsid w:val="00E74F0B"/>
    <w:rsid w:val="00E770CF"/>
    <w:rsid w:val="00E80073"/>
    <w:rsid w:val="00E8067D"/>
    <w:rsid w:val="00E80B36"/>
    <w:rsid w:val="00E82EA5"/>
    <w:rsid w:val="00E82F94"/>
    <w:rsid w:val="00E850D2"/>
    <w:rsid w:val="00E85E26"/>
    <w:rsid w:val="00E87184"/>
    <w:rsid w:val="00E87670"/>
    <w:rsid w:val="00E916C5"/>
    <w:rsid w:val="00E92F3C"/>
    <w:rsid w:val="00E955C5"/>
    <w:rsid w:val="00E95891"/>
    <w:rsid w:val="00EA10CF"/>
    <w:rsid w:val="00EA2746"/>
    <w:rsid w:val="00EA3D57"/>
    <w:rsid w:val="00EA451B"/>
    <w:rsid w:val="00EA578C"/>
    <w:rsid w:val="00EB0F86"/>
    <w:rsid w:val="00EB1106"/>
    <w:rsid w:val="00EB1456"/>
    <w:rsid w:val="00EB37A2"/>
    <w:rsid w:val="00EB463A"/>
    <w:rsid w:val="00EB5C69"/>
    <w:rsid w:val="00EC11BD"/>
    <w:rsid w:val="00EC3689"/>
    <w:rsid w:val="00EC3BB1"/>
    <w:rsid w:val="00EC4044"/>
    <w:rsid w:val="00EC4613"/>
    <w:rsid w:val="00EC5E70"/>
    <w:rsid w:val="00EC7DCE"/>
    <w:rsid w:val="00EC7F63"/>
    <w:rsid w:val="00ED0E4C"/>
    <w:rsid w:val="00ED173B"/>
    <w:rsid w:val="00ED3719"/>
    <w:rsid w:val="00ED57D5"/>
    <w:rsid w:val="00ED7742"/>
    <w:rsid w:val="00EE3FDC"/>
    <w:rsid w:val="00EE46B3"/>
    <w:rsid w:val="00EE498F"/>
    <w:rsid w:val="00EE5FCA"/>
    <w:rsid w:val="00EF0E68"/>
    <w:rsid w:val="00EF0F4B"/>
    <w:rsid w:val="00EF22E1"/>
    <w:rsid w:val="00EF2326"/>
    <w:rsid w:val="00EF5217"/>
    <w:rsid w:val="00EF5A40"/>
    <w:rsid w:val="00EF6275"/>
    <w:rsid w:val="00EF630B"/>
    <w:rsid w:val="00EF64E9"/>
    <w:rsid w:val="00EF7AF5"/>
    <w:rsid w:val="00F029F2"/>
    <w:rsid w:val="00F02D08"/>
    <w:rsid w:val="00F03063"/>
    <w:rsid w:val="00F06284"/>
    <w:rsid w:val="00F11921"/>
    <w:rsid w:val="00F123CB"/>
    <w:rsid w:val="00F12773"/>
    <w:rsid w:val="00F1337B"/>
    <w:rsid w:val="00F14A9A"/>
    <w:rsid w:val="00F14D21"/>
    <w:rsid w:val="00F15014"/>
    <w:rsid w:val="00F160B0"/>
    <w:rsid w:val="00F220D8"/>
    <w:rsid w:val="00F230AF"/>
    <w:rsid w:val="00F231DB"/>
    <w:rsid w:val="00F23913"/>
    <w:rsid w:val="00F24B97"/>
    <w:rsid w:val="00F24E17"/>
    <w:rsid w:val="00F25ADE"/>
    <w:rsid w:val="00F2622F"/>
    <w:rsid w:val="00F269E2"/>
    <w:rsid w:val="00F30150"/>
    <w:rsid w:val="00F338E7"/>
    <w:rsid w:val="00F347B2"/>
    <w:rsid w:val="00F34DD9"/>
    <w:rsid w:val="00F358EA"/>
    <w:rsid w:val="00F365DD"/>
    <w:rsid w:val="00F36887"/>
    <w:rsid w:val="00F416DB"/>
    <w:rsid w:val="00F41CBD"/>
    <w:rsid w:val="00F424E8"/>
    <w:rsid w:val="00F42F25"/>
    <w:rsid w:val="00F4332F"/>
    <w:rsid w:val="00F43443"/>
    <w:rsid w:val="00F45031"/>
    <w:rsid w:val="00F463BA"/>
    <w:rsid w:val="00F50251"/>
    <w:rsid w:val="00F5146B"/>
    <w:rsid w:val="00F52A6B"/>
    <w:rsid w:val="00F54DA1"/>
    <w:rsid w:val="00F61B5A"/>
    <w:rsid w:val="00F64159"/>
    <w:rsid w:val="00F64B33"/>
    <w:rsid w:val="00F670DE"/>
    <w:rsid w:val="00F67CDE"/>
    <w:rsid w:val="00F701F9"/>
    <w:rsid w:val="00F70BBF"/>
    <w:rsid w:val="00F713D2"/>
    <w:rsid w:val="00F7462A"/>
    <w:rsid w:val="00F779BD"/>
    <w:rsid w:val="00F77E8B"/>
    <w:rsid w:val="00F8041D"/>
    <w:rsid w:val="00F809F6"/>
    <w:rsid w:val="00F818DC"/>
    <w:rsid w:val="00F821F8"/>
    <w:rsid w:val="00F82BB6"/>
    <w:rsid w:val="00F84832"/>
    <w:rsid w:val="00F84D2A"/>
    <w:rsid w:val="00F870A5"/>
    <w:rsid w:val="00F909F9"/>
    <w:rsid w:val="00F91663"/>
    <w:rsid w:val="00F919D7"/>
    <w:rsid w:val="00F91ADD"/>
    <w:rsid w:val="00F92A0A"/>
    <w:rsid w:val="00F92ECD"/>
    <w:rsid w:val="00F9367B"/>
    <w:rsid w:val="00F9421D"/>
    <w:rsid w:val="00F94818"/>
    <w:rsid w:val="00F95C2E"/>
    <w:rsid w:val="00F97642"/>
    <w:rsid w:val="00F97783"/>
    <w:rsid w:val="00FA0BA6"/>
    <w:rsid w:val="00FA200F"/>
    <w:rsid w:val="00FA46D8"/>
    <w:rsid w:val="00FA47EB"/>
    <w:rsid w:val="00FA4BF8"/>
    <w:rsid w:val="00FA7972"/>
    <w:rsid w:val="00FB0F96"/>
    <w:rsid w:val="00FB4A02"/>
    <w:rsid w:val="00FB60C9"/>
    <w:rsid w:val="00FC03AC"/>
    <w:rsid w:val="00FC28B8"/>
    <w:rsid w:val="00FC2C90"/>
    <w:rsid w:val="00FC33BF"/>
    <w:rsid w:val="00FC3D6D"/>
    <w:rsid w:val="00FC4299"/>
    <w:rsid w:val="00FC4B6D"/>
    <w:rsid w:val="00FC58BD"/>
    <w:rsid w:val="00FC66D9"/>
    <w:rsid w:val="00FC74FD"/>
    <w:rsid w:val="00FD1CC1"/>
    <w:rsid w:val="00FD6216"/>
    <w:rsid w:val="00FE00D0"/>
    <w:rsid w:val="00FE0CA8"/>
    <w:rsid w:val="00FE1A4C"/>
    <w:rsid w:val="00FE262D"/>
    <w:rsid w:val="00FE2706"/>
    <w:rsid w:val="00FE3517"/>
    <w:rsid w:val="00FE4645"/>
    <w:rsid w:val="00FE4B1C"/>
    <w:rsid w:val="00FE4D81"/>
    <w:rsid w:val="00FE69D4"/>
    <w:rsid w:val="00FF14F8"/>
    <w:rsid w:val="00FF2907"/>
    <w:rsid w:val="00FF2E68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96F7EB"/>
  <w15:chartTrackingRefBased/>
  <w15:docId w15:val="{FFDEF637-5ED1-43B8-B5D1-9E7D2C8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0E6"/>
    <w:pPr>
      <w:spacing w:after="6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F1069"/>
    <w:pPr>
      <w:keepNext/>
      <w:numPr>
        <w:numId w:val="1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540"/>
      <w:ind w:left="116"/>
      <w:outlineLvl w:val="3"/>
    </w:pPr>
    <w:rPr>
      <w:b/>
      <w:spacing w:val="15"/>
      <w:sz w:val="28"/>
      <w:lang w:val="en-US"/>
    </w:rPr>
  </w:style>
  <w:style w:type="paragraph" w:styleId="Heading5">
    <w:name w:val="heading 5"/>
    <w:basedOn w:val="Normal"/>
    <w:next w:val="Normal"/>
    <w:qFormat/>
    <w:rsid w:val="005258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pPr>
      <w:widowControl w:val="0"/>
    </w:pPr>
    <w:rPr>
      <w:rFonts w:ascii="Courier" w:hAnsi="Courier"/>
      <w:szCs w:val="20"/>
      <w:lang w:val="en-US"/>
    </w:rPr>
  </w:style>
  <w:style w:type="paragraph" w:styleId="BodyText3">
    <w:name w:val="Body Text 3"/>
    <w:basedOn w:val="Normal"/>
    <w:link w:val="BodyText3Char"/>
    <w:rPr>
      <w:szCs w:val="20"/>
      <w:lang w:val="en-US"/>
    </w:rPr>
  </w:style>
  <w:style w:type="paragraph" w:styleId="BodyTextIndent">
    <w:name w:val="Body Text Indent"/>
    <w:basedOn w:val="Normal"/>
    <w:pPr>
      <w:tabs>
        <w:tab w:val="left" w:pos="360"/>
      </w:tabs>
    </w:pPr>
    <w:rPr>
      <w:b/>
      <w:i/>
      <w:sz w:val="28"/>
      <w:szCs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">
    <w:name w:val="Body Text"/>
    <w:basedOn w:val="Normal"/>
    <w:pPr>
      <w:pBdr>
        <w:bottom w:val="single" w:sz="4" w:space="1" w:color="auto"/>
      </w:pBdr>
    </w:pPr>
    <w:rPr>
      <w:rFonts w:ascii="Arial Narrow" w:hAnsi="Arial Narrow"/>
      <w:i/>
      <w:iCs/>
    </w:rPr>
  </w:style>
  <w:style w:type="paragraph" w:styleId="BodyText2">
    <w:name w:val="Body Text 2"/>
    <w:basedOn w:val="Normal"/>
    <w:pPr>
      <w:spacing w:before="120" w:after="120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rsid w:val="00D260B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6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627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F6275"/>
    <w:rPr>
      <w:b/>
      <w:bCs/>
    </w:rPr>
  </w:style>
  <w:style w:type="table" w:styleId="TableGrid">
    <w:name w:val="Table Grid"/>
    <w:basedOn w:val="TableNormal"/>
    <w:uiPriority w:val="39"/>
    <w:rsid w:val="0023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663C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Emphasis">
    <w:name w:val="Emphasis"/>
    <w:qFormat/>
    <w:rsid w:val="00F30150"/>
    <w:rPr>
      <w:i/>
      <w:iCs/>
    </w:rPr>
  </w:style>
  <w:style w:type="character" w:styleId="FootnoteReference">
    <w:name w:val="footnote reference"/>
    <w:uiPriority w:val="99"/>
    <w:rsid w:val="00BF50E7"/>
    <w:rPr>
      <w:rFonts w:ascii="Arial" w:hAnsi="Arial"/>
      <w:sz w:val="18"/>
      <w:vertAlign w:val="superscript"/>
    </w:rPr>
  </w:style>
  <w:style w:type="paragraph" w:customStyle="1" w:styleId="Char">
    <w:name w:val="Char"/>
    <w:basedOn w:val="Heading2"/>
    <w:rsid w:val="00912142"/>
    <w:pPr>
      <w:pageBreakBefore/>
      <w:tabs>
        <w:tab w:val="left" w:pos="850"/>
        <w:tab w:val="left" w:pos="1191"/>
        <w:tab w:val="left" w:pos="1531"/>
      </w:tabs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paragraph" w:customStyle="1" w:styleId="ColorfulList-Accent11">
    <w:name w:val="Colorful List - Accent 11"/>
    <w:basedOn w:val="Normal"/>
    <w:qFormat/>
    <w:rsid w:val="00DB520F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rsid w:val="00700D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harCharChar1">
    <w:name w:val="Char Char Char1"/>
    <w:basedOn w:val="Normal"/>
    <w:rsid w:val="00340E23"/>
    <w:pPr>
      <w:spacing w:after="160" w:line="240" w:lineRule="exact"/>
      <w:jc w:val="left"/>
    </w:pPr>
    <w:rPr>
      <w:rFonts w:cs="Arial"/>
      <w:sz w:val="20"/>
      <w:szCs w:val="20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051C87"/>
    <w:rPr>
      <w:rFonts w:ascii="Arial" w:hAnsi="Arial"/>
      <w:sz w:val="22"/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104FDC"/>
    <w:rPr>
      <w:rFonts w:ascii="Arial" w:hAnsi="Arial"/>
      <w:sz w:val="22"/>
      <w:lang w:val="en-GB"/>
    </w:rPr>
  </w:style>
  <w:style w:type="character" w:customStyle="1" w:styleId="HeaderChar">
    <w:name w:val="Header Char"/>
    <w:link w:val="Header"/>
    <w:uiPriority w:val="99"/>
    <w:rsid w:val="000776E9"/>
    <w:rPr>
      <w:rFonts w:ascii="Arial" w:hAnsi="Arial"/>
      <w:sz w:val="22"/>
      <w:szCs w:val="24"/>
      <w:lang w:val="en-GB"/>
    </w:rPr>
  </w:style>
  <w:style w:type="character" w:customStyle="1" w:styleId="MediumGrid11">
    <w:name w:val="Medium Grid 11"/>
    <w:uiPriority w:val="99"/>
    <w:semiHidden/>
    <w:rsid w:val="000776E9"/>
    <w:rPr>
      <w:color w:val="808080"/>
    </w:rPr>
  </w:style>
  <w:style w:type="character" w:customStyle="1" w:styleId="FooterChar">
    <w:name w:val="Footer Char"/>
    <w:link w:val="Footer"/>
    <w:uiPriority w:val="99"/>
    <w:rsid w:val="008D1171"/>
    <w:rPr>
      <w:rFonts w:ascii="Arial" w:hAnsi="Arial"/>
      <w:sz w:val="22"/>
      <w:szCs w:val="24"/>
      <w:lang w:val="en-GB"/>
    </w:rPr>
  </w:style>
  <w:style w:type="paragraph" w:customStyle="1" w:styleId="ListParagraph1">
    <w:name w:val="List Paragraph1"/>
    <w:aliases w:val="Bullet1"/>
    <w:basedOn w:val="Normal"/>
    <w:link w:val="ListParagraphChar"/>
    <w:uiPriority w:val="34"/>
    <w:qFormat/>
    <w:rsid w:val="00C9328A"/>
    <w:pPr>
      <w:ind w:left="720"/>
    </w:pPr>
  </w:style>
  <w:style w:type="character" w:customStyle="1" w:styleId="FootnoteTextChar">
    <w:name w:val="Footnote Text Char"/>
    <w:link w:val="FootnoteText"/>
    <w:uiPriority w:val="99"/>
    <w:rsid w:val="005E763F"/>
    <w:rPr>
      <w:rFonts w:ascii="Courier" w:hAnsi="Courier"/>
      <w:sz w:val="22"/>
    </w:rPr>
  </w:style>
  <w:style w:type="paragraph" w:styleId="PlainText">
    <w:name w:val="Plain Text"/>
    <w:basedOn w:val="Normal"/>
    <w:link w:val="PlainTextChar1"/>
    <w:uiPriority w:val="99"/>
    <w:rsid w:val="005E763F"/>
    <w:pPr>
      <w:spacing w:after="0"/>
      <w:jc w:val="left"/>
    </w:pPr>
    <w:rPr>
      <w:rFonts w:ascii="Consolas" w:hAnsi="Consolas"/>
      <w:sz w:val="20"/>
      <w:szCs w:val="20"/>
      <w:lang w:val="en-US"/>
    </w:rPr>
  </w:style>
  <w:style w:type="character" w:customStyle="1" w:styleId="PlainTextChar">
    <w:name w:val="Plain Text Char"/>
    <w:rsid w:val="005E763F"/>
    <w:rPr>
      <w:rFonts w:ascii="Courier New" w:hAnsi="Courier New" w:cs="Courier New"/>
      <w:lang w:val="en-GB"/>
    </w:rPr>
  </w:style>
  <w:style w:type="character" w:customStyle="1" w:styleId="PlainTextChar1">
    <w:name w:val="Plain Text Char1"/>
    <w:link w:val="PlainText"/>
    <w:uiPriority w:val="99"/>
    <w:locked/>
    <w:rsid w:val="005E763F"/>
    <w:rPr>
      <w:rFonts w:ascii="Consolas" w:hAnsi="Consolas"/>
    </w:rPr>
  </w:style>
  <w:style w:type="paragraph" w:customStyle="1" w:styleId="Default">
    <w:name w:val="Default"/>
    <w:rsid w:val="005E76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1 Char"/>
    <w:link w:val="ListParagraph1"/>
    <w:uiPriority w:val="34"/>
    <w:locked/>
    <w:rsid w:val="00544BD4"/>
    <w:rPr>
      <w:rFonts w:ascii="Arial" w:hAnsi="Arial"/>
      <w:sz w:val="22"/>
      <w:szCs w:val="24"/>
      <w:lang w:val="en-GB"/>
    </w:rPr>
  </w:style>
  <w:style w:type="paragraph" w:customStyle="1" w:styleId="Revision1">
    <w:name w:val="Revision1"/>
    <w:hidden/>
    <w:uiPriority w:val="99"/>
    <w:semiHidden/>
    <w:rsid w:val="001A1691"/>
    <w:rPr>
      <w:rFonts w:ascii="Arial" w:hAnsi="Arial"/>
      <w:sz w:val="22"/>
      <w:szCs w:val="24"/>
      <w:lang w:val="en-GB" w:eastAsia="en-US"/>
    </w:rPr>
  </w:style>
  <w:style w:type="character" w:customStyle="1" w:styleId="BodyText3Char">
    <w:name w:val="Body Text 3 Char"/>
    <w:link w:val="BodyText3"/>
    <w:rsid w:val="00803BAF"/>
    <w:rPr>
      <w:rFonts w:ascii="Arial" w:hAnsi="Arial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249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5B9BD5"/>
      <w:szCs w:val="22"/>
      <w:lang w:val="uk-UA"/>
    </w:rPr>
  </w:style>
  <w:style w:type="character" w:customStyle="1" w:styleId="IntenseQuoteChar">
    <w:name w:val="Intense Quote Char"/>
    <w:link w:val="IntenseQuote"/>
    <w:uiPriority w:val="30"/>
    <w:rsid w:val="00AD4249"/>
    <w:rPr>
      <w:rFonts w:ascii="Calibri" w:eastAsia="Calibri" w:hAnsi="Calibri"/>
      <w:i/>
      <w:iCs/>
      <w:color w:val="5B9BD5"/>
      <w:sz w:val="22"/>
      <w:szCs w:val="22"/>
      <w:lang w:val="uk-UA"/>
    </w:rPr>
  </w:style>
  <w:style w:type="paragraph" w:customStyle="1" w:styleId="font5">
    <w:name w:val="font5"/>
    <w:basedOn w:val="Normal"/>
    <w:rsid w:val="00172334"/>
    <w:pPr>
      <w:spacing w:before="100" w:beforeAutospacing="1" w:after="100" w:afterAutospacing="1"/>
      <w:jc w:val="left"/>
    </w:pPr>
    <w:rPr>
      <w:rFonts w:cs="Arial"/>
      <w:color w:val="000000"/>
      <w:szCs w:val="22"/>
      <w:lang w:val="en-US"/>
    </w:rPr>
  </w:style>
  <w:style w:type="paragraph" w:customStyle="1" w:styleId="font6">
    <w:name w:val="font6"/>
    <w:basedOn w:val="Normal"/>
    <w:rsid w:val="00172334"/>
    <w:pPr>
      <w:spacing w:before="100" w:beforeAutospacing="1" w:after="100" w:afterAutospacing="1"/>
      <w:jc w:val="left"/>
    </w:pPr>
    <w:rPr>
      <w:rFonts w:cs="Arial"/>
      <w:b/>
      <w:bCs/>
      <w:color w:val="000000"/>
      <w:szCs w:val="22"/>
      <w:lang w:val="en-US"/>
    </w:rPr>
  </w:style>
  <w:style w:type="paragraph" w:customStyle="1" w:styleId="font7">
    <w:name w:val="font7"/>
    <w:basedOn w:val="Normal"/>
    <w:rsid w:val="00172334"/>
    <w:pPr>
      <w:spacing w:before="100" w:beforeAutospacing="1" w:after="100" w:afterAutospacing="1"/>
      <w:jc w:val="left"/>
    </w:pPr>
    <w:rPr>
      <w:rFonts w:cs="Arial"/>
      <w:color w:val="000000"/>
      <w:szCs w:val="22"/>
      <w:u w:val="single"/>
      <w:lang w:val="en-US"/>
    </w:rPr>
  </w:style>
  <w:style w:type="paragraph" w:customStyle="1" w:styleId="font8">
    <w:name w:val="font8"/>
    <w:basedOn w:val="Normal"/>
    <w:rsid w:val="0017233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  <w:lang w:val="en-US"/>
    </w:rPr>
  </w:style>
  <w:style w:type="paragraph" w:customStyle="1" w:styleId="xl63">
    <w:name w:val="xl63"/>
    <w:basedOn w:val="Normal"/>
    <w:rsid w:val="001723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n-US"/>
    </w:rPr>
  </w:style>
  <w:style w:type="paragraph" w:customStyle="1" w:styleId="xl64">
    <w:name w:val="xl64"/>
    <w:basedOn w:val="Normal"/>
    <w:rsid w:val="001723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 Narrow" w:hAnsi="Arial Narrow"/>
      <w:i/>
      <w:iCs/>
      <w:sz w:val="18"/>
      <w:szCs w:val="18"/>
      <w:lang w:val="en-US"/>
    </w:rPr>
  </w:style>
  <w:style w:type="paragraph" w:customStyle="1" w:styleId="xl65">
    <w:name w:val="xl65"/>
    <w:basedOn w:val="Normal"/>
    <w:rsid w:val="00172334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n-US"/>
    </w:rPr>
  </w:style>
  <w:style w:type="paragraph" w:customStyle="1" w:styleId="xl66">
    <w:name w:val="xl66"/>
    <w:basedOn w:val="Normal"/>
    <w:rsid w:val="00172334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Arial"/>
      <w:i/>
      <w:iCs/>
      <w:sz w:val="16"/>
      <w:szCs w:val="16"/>
      <w:lang w:val="en-US"/>
    </w:rPr>
  </w:style>
  <w:style w:type="paragraph" w:customStyle="1" w:styleId="xl67">
    <w:name w:val="xl67"/>
    <w:basedOn w:val="Normal"/>
    <w:rsid w:val="00172334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en-US"/>
    </w:rPr>
  </w:style>
  <w:style w:type="paragraph" w:customStyle="1" w:styleId="xl68">
    <w:name w:val="xl68"/>
    <w:basedOn w:val="Normal"/>
    <w:rsid w:val="00172334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val="en-US"/>
    </w:rPr>
  </w:style>
  <w:style w:type="paragraph" w:customStyle="1" w:styleId="xl69">
    <w:name w:val="xl69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70">
    <w:name w:val="xl70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u w:val="single"/>
      <w:lang w:val="en-US"/>
    </w:rPr>
  </w:style>
  <w:style w:type="paragraph" w:customStyle="1" w:styleId="xl71">
    <w:name w:val="xl71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72">
    <w:name w:val="xl72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4"/>
      <w:u w:val="single"/>
      <w:lang w:val="en-US"/>
    </w:rPr>
  </w:style>
  <w:style w:type="paragraph" w:customStyle="1" w:styleId="xl73">
    <w:name w:val="xl73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4"/>
      <w:lang w:val="en-US"/>
    </w:rPr>
  </w:style>
  <w:style w:type="paragraph" w:customStyle="1" w:styleId="xl74">
    <w:name w:val="xl74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lang w:val="en-US"/>
    </w:rPr>
  </w:style>
  <w:style w:type="paragraph" w:customStyle="1" w:styleId="xl75">
    <w:name w:val="xl75"/>
    <w:basedOn w:val="Normal"/>
    <w:rsid w:val="001723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76">
    <w:name w:val="xl76"/>
    <w:basedOn w:val="Normal"/>
    <w:rsid w:val="001723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4"/>
      <w:lang w:val="en-US"/>
    </w:rPr>
  </w:style>
  <w:style w:type="paragraph" w:customStyle="1" w:styleId="xl77">
    <w:name w:val="xl77"/>
    <w:basedOn w:val="Normal"/>
    <w:rsid w:val="001723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78">
    <w:name w:val="xl78"/>
    <w:basedOn w:val="Normal"/>
    <w:rsid w:val="001723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4"/>
      <w:lang w:val="en-US"/>
    </w:rPr>
  </w:style>
  <w:style w:type="paragraph" w:customStyle="1" w:styleId="xl79">
    <w:name w:val="xl79"/>
    <w:basedOn w:val="Normal"/>
    <w:rsid w:val="001723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80">
    <w:name w:val="xl80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81">
    <w:name w:val="xl81"/>
    <w:basedOn w:val="Normal"/>
    <w:rsid w:val="001723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82">
    <w:name w:val="xl82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4"/>
      <w:lang w:val="en-US"/>
    </w:rPr>
  </w:style>
  <w:style w:type="paragraph" w:customStyle="1" w:styleId="xl83">
    <w:name w:val="xl83"/>
    <w:basedOn w:val="Normal"/>
    <w:rsid w:val="001723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4"/>
      <w:lang w:val="en-US"/>
    </w:rPr>
  </w:style>
  <w:style w:type="paragraph" w:customStyle="1" w:styleId="xl84">
    <w:name w:val="xl84"/>
    <w:basedOn w:val="Normal"/>
    <w:rsid w:val="00172334"/>
    <w:pPr>
      <w:spacing w:before="100" w:beforeAutospacing="1" w:after="100" w:afterAutospacing="1"/>
      <w:jc w:val="left"/>
      <w:textAlignment w:val="center"/>
    </w:pPr>
    <w:rPr>
      <w:rFonts w:cs="Arial"/>
      <w:sz w:val="24"/>
      <w:lang w:val="en-US"/>
    </w:rPr>
  </w:style>
  <w:style w:type="paragraph" w:customStyle="1" w:styleId="xl85">
    <w:name w:val="xl85"/>
    <w:basedOn w:val="Normal"/>
    <w:rsid w:val="00172334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4"/>
      <w:lang w:val="en-US"/>
    </w:rPr>
  </w:style>
  <w:style w:type="paragraph" w:customStyle="1" w:styleId="xl86">
    <w:name w:val="xl86"/>
    <w:basedOn w:val="Normal"/>
    <w:rsid w:val="001723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87">
    <w:name w:val="xl87"/>
    <w:basedOn w:val="Normal"/>
    <w:rsid w:val="001723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88">
    <w:name w:val="xl88"/>
    <w:basedOn w:val="Normal"/>
    <w:rsid w:val="001723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u w:val="single"/>
      <w:lang w:val="en-US"/>
    </w:rPr>
  </w:style>
  <w:style w:type="paragraph" w:customStyle="1" w:styleId="xl89">
    <w:name w:val="xl89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24"/>
      <w:u w:val="single"/>
      <w:lang w:val="en-US"/>
    </w:rPr>
  </w:style>
  <w:style w:type="paragraph" w:customStyle="1" w:styleId="xl90">
    <w:name w:val="xl90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24"/>
      <w:lang w:val="en-US"/>
    </w:rPr>
  </w:style>
  <w:style w:type="paragraph" w:customStyle="1" w:styleId="xl91">
    <w:name w:val="xl91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24"/>
      <w:lang w:val="en-US"/>
    </w:rPr>
  </w:style>
  <w:style w:type="paragraph" w:customStyle="1" w:styleId="xl92">
    <w:name w:val="xl92"/>
    <w:basedOn w:val="Normal"/>
    <w:rsid w:val="001723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lang w:val="en-US"/>
    </w:rPr>
  </w:style>
  <w:style w:type="paragraph" w:customStyle="1" w:styleId="xl93">
    <w:name w:val="xl93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94">
    <w:name w:val="xl94"/>
    <w:basedOn w:val="Normal"/>
    <w:rsid w:val="001723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95">
    <w:name w:val="xl95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96">
    <w:name w:val="xl96"/>
    <w:basedOn w:val="Normal"/>
    <w:rsid w:val="001723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97">
    <w:name w:val="xl97"/>
    <w:basedOn w:val="Normal"/>
    <w:rsid w:val="001723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4"/>
      <w:lang w:val="en-US"/>
    </w:rPr>
  </w:style>
  <w:style w:type="paragraph" w:customStyle="1" w:styleId="xl98">
    <w:name w:val="xl98"/>
    <w:basedOn w:val="Normal"/>
    <w:rsid w:val="00172334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4"/>
      <w:lang w:val="en-US"/>
    </w:rPr>
  </w:style>
  <w:style w:type="paragraph" w:customStyle="1" w:styleId="xl99">
    <w:name w:val="xl99"/>
    <w:basedOn w:val="Normal"/>
    <w:rsid w:val="001723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en-US"/>
    </w:rPr>
  </w:style>
  <w:style w:type="paragraph" w:customStyle="1" w:styleId="xl100">
    <w:name w:val="xl100"/>
    <w:basedOn w:val="Normal"/>
    <w:rsid w:val="001723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u w:val="single"/>
      <w:lang w:val="en-US"/>
    </w:rPr>
  </w:style>
  <w:style w:type="paragraph" w:customStyle="1" w:styleId="xl101">
    <w:name w:val="xl101"/>
    <w:basedOn w:val="Normal"/>
    <w:rsid w:val="001723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102">
    <w:name w:val="xl102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lang w:val="en-US"/>
    </w:rPr>
  </w:style>
  <w:style w:type="paragraph" w:customStyle="1" w:styleId="xl103">
    <w:name w:val="xl103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4"/>
      <w:lang w:val="en-US"/>
    </w:rPr>
  </w:style>
  <w:style w:type="paragraph" w:customStyle="1" w:styleId="xl104">
    <w:name w:val="xl104"/>
    <w:basedOn w:val="Normal"/>
    <w:rsid w:val="001723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105">
    <w:name w:val="xl105"/>
    <w:basedOn w:val="Normal"/>
    <w:rsid w:val="0017233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106">
    <w:name w:val="xl106"/>
    <w:basedOn w:val="Normal"/>
    <w:rsid w:val="0017233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lang w:val="en-US"/>
    </w:rPr>
  </w:style>
  <w:style w:type="paragraph" w:customStyle="1" w:styleId="xl107">
    <w:name w:val="xl107"/>
    <w:basedOn w:val="Normal"/>
    <w:rsid w:val="0017233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108">
    <w:name w:val="xl108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24"/>
      <w:u w:val="single"/>
      <w:lang w:val="en-US"/>
    </w:rPr>
  </w:style>
  <w:style w:type="paragraph" w:customStyle="1" w:styleId="xl109">
    <w:name w:val="xl109"/>
    <w:basedOn w:val="Normal"/>
    <w:rsid w:val="001723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lang w:val="en-US"/>
    </w:rPr>
  </w:style>
  <w:style w:type="paragraph" w:customStyle="1" w:styleId="xl110">
    <w:name w:val="xl110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lang w:val="en-US"/>
    </w:rPr>
  </w:style>
  <w:style w:type="paragraph" w:customStyle="1" w:styleId="xl111">
    <w:name w:val="xl111"/>
    <w:basedOn w:val="Normal"/>
    <w:rsid w:val="00172334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lang w:val="en-US"/>
    </w:rPr>
  </w:style>
  <w:style w:type="paragraph" w:customStyle="1" w:styleId="xl112">
    <w:name w:val="xl112"/>
    <w:basedOn w:val="Normal"/>
    <w:rsid w:val="001723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lang w:val="en-US"/>
    </w:rPr>
  </w:style>
  <w:style w:type="paragraph" w:customStyle="1" w:styleId="xl113">
    <w:name w:val="xl113"/>
    <w:basedOn w:val="Normal"/>
    <w:rsid w:val="001723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n-US"/>
    </w:rPr>
  </w:style>
  <w:style w:type="paragraph" w:customStyle="1" w:styleId="xl114">
    <w:name w:val="xl114"/>
    <w:basedOn w:val="Normal"/>
    <w:rsid w:val="001723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n-US"/>
    </w:rPr>
  </w:style>
  <w:style w:type="paragraph" w:customStyle="1" w:styleId="xl115">
    <w:name w:val="xl115"/>
    <w:basedOn w:val="Normal"/>
    <w:rsid w:val="001723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n-US"/>
    </w:rPr>
  </w:style>
  <w:style w:type="paragraph" w:customStyle="1" w:styleId="xl116">
    <w:name w:val="xl116"/>
    <w:basedOn w:val="Normal"/>
    <w:rsid w:val="001723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lang w:val="en-US"/>
    </w:rPr>
  </w:style>
  <w:style w:type="paragraph" w:customStyle="1" w:styleId="xl117">
    <w:name w:val="xl117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lang w:val="en-US"/>
    </w:rPr>
  </w:style>
  <w:style w:type="paragraph" w:customStyle="1" w:styleId="xl118">
    <w:name w:val="xl118"/>
    <w:basedOn w:val="Normal"/>
    <w:rsid w:val="001723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119">
    <w:name w:val="xl119"/>
    <w:basedOn w:val="Normal"/>
    <w:rsid w:val="001723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lang w:val="en-US"/>
    </w:rPr>
  </w:style>
  <w:style w:type="paragraph" w:customStyle="1" w:styleId="xl120">
    <w:name w:val="xl120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121">
    <w:name w:val="xl121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u w:val="single"/>
      <w:lang w:val="en-US"/>
    </w:rPr>
  </w:style>
  <w:style w:type="paragraph" w:customStyle="1" w:styleId="xl122">
    <w:name w:val="xl122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lang w:val="en-US"/>
    </w:rPr>
  </w:style>
  <w:style w:type="paragraph" w:customStyle="1" w:styleId="xl123">
    <w:name w:val="xl123"/>
    <w:basedOn w:val="Normal"/>
    <w:rsid w:val="001723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en-US"/>
    </w:rPr>
  </w:style>
  <w:style w:type="paragraph" w:customStyle="1" w:styleId="xl124">
    <w:name w:val="xl124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lang w:val="en-US"/>
    </w:rPr>
  </w:style>
  <w:style w:type="paragraph" w:customStyle="1" w:styleId="xl125">
    <w:name w:val="xl125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lang w:val="en-US"/>
    </w:rPr>
  </w:style>
  <w:style w:type="paragraph" w:customStyle="1" w:styleId="xl126">
    <w:name w:val="xl126"/>
    <w:basedOn w:val="Normal"/>
    <w:rsid w:val="00172334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lang w:val="en-US"/>
    </w:rPr>
  </w:style>
  <w:style w:type="paragraph" w:customStyle="1" w:styleId="xl127">
    <w:name w:val="xl127"/>
    <w:basedOn w:val="Normal"/>
    <w:rsid w:val="0017233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lang w:val="en-US"/>
    </w:rPr>
  </w:style>
  <w:style w:type="paragraph" w:customStyle="1" w:styleId="xl128">
    <w:name w:val="xl128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129">
    <w:name w:val="xl129"/>
    <w:basedOn w:val="Normal"/>
    <w:rsid w:val="0017233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130">
    <w:name w:val="xl130"/>
    <w:basedOn w:val="Normal"/>
    <w:rsid w:val="0017233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US"/>
    </w:rPr>
  </w:style>
  <w:style w:type="paragraph" w:customStyle="1" w:styleId="xl131">
    <w:name w:val="xl131"/>
    <w:basedOn w:val="Normal"/>
    <w:rsid w:val="00172334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Arial"/>
      <w:sz w:val="24"/>
      <w:lang w:val="en-US"/>
    </w:rPr>
  </w:style>
  <w:style w:type="paragraph" w:customStyle="1" w:styleId="xl132">
    <w:name w:val="xl132"/>
    <w:basedOn w:val="Normal"/>
    <w:rsid w:val="001723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sz w:val="24"/>
      <w:lang w:val="en-US"/>
    </w:rPr>
  </w:style>
  <w:style w:type="paragraph" w:customStyle="1" w:styleId="xl133">
    <w:name w:val="xl133"/>
    <w:basedOn w:val="Normal"/>
    <w:rsid w:val="00172334"/>
    <w:pPr>
      <w:spacing w:before="100" w:beforeAutospacing="1" w:after="100" w:afterAutospacing="1"/>
      <w:jc w:val="left"/>
    </w:pPr>
    <w:rPr>
      <w:rFonts w:cs="Arial"/>
      <w:sz w:val="24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17233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4A80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C58BD"/>
  </w:style>
  <w:style w:type="table" w:customStyle="1" w:styleId="2">
    <w:name w:val="2"/>
    <w:basedOn w:val="TableNormal"/>
    <w:rsid w:val="00930031"/>
    <w:pPr>
      <w:pBdr>
        <w:top w:val="nil"/>
        <w:left w:val="nil"/>
        <w:bottom w:val="nil"/>
        <w:right w:val="nil"/>
        <w:between w:val="nil"/>
      </w:pBdr>
      <w:spacing w:after="60"/>
      <w:jc w:val="both"/>
    </w:pPr>
    <w:rPr>
      <w:rFonts w:ascii="Arial" w:eastAsia="Arial" w:hAnsi="Arial" w:cs="Arial"/>
      <w:color w:val="000000"/>
      <w:sz w:val="22"/>
      <w:szCs w:val="22"/>
      <w:lang w:val="en-GB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930031"/>
    <w:pPr>
      <w:pBdr>
        <w:top w:val="nil"/>
        <w:left w:val="nil"/>
        <w:bottom w:val="nil"/>
        <w:right w:val="nil"/>
        <w:between w:val="nil"/>
      </w:pBdr>
      <w:spacing w:after="60"/>
      <w:jc w:val="both"/>
    </w:pPr>
    <w:rPr>
      <w:rFonts w:ascii="Arial" w:eastAsia="Arial" w:hAnsi="Arial" w:cs="Arial"/>
      <w:color w:val="000000"/>
      <w:sz w:val="22"/>
      <w:szCs w:val="22"/>
      <w:lang w:val="en-GB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dnoteText">
    <w:name w:val="endnote text"/>
    <w:basedOn w:val="Normal"/>
    <w:link w:val="EndnoteTextChar"/>
    <w:rsid w:val="0084111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41117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841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7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59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48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64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46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78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96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43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2012-04-05T00:00:00+00:00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Annual/Multi-Year Workplan</TermName>
          <TermId xmlns="http://schemas.microsoft.com/office/infopath/2007/PartnerControls">32cd623a-3734-435b-a6ba-7b0d4a2fa8e7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1691</Value>
      <Value>1</Value>
      <Value>1113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00090474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</TermName>
          <TermId xmlns="http://schemas.microsoft.com/office/infopath/2007/PartnerControls">ac2a8763-b8b1-4ebb-b99d-0d83724bc392</TermId>
        </TermInfo>
      </Terms>
    </gc6531b704974d528487414686b72f6f>
    <_dlc_DocId xmlns="f1161f5b-24a3-4c2d-bc81-44cb9325e8ee">ATLASPDC-4-97201</_dlc_DocId>
    <_dlc_DocIdUrl xmlns="f1161f5b-24a3-4c2d-bc81-44cb9325e8ee">
      <Url>https://info.undp.org/docs/pdc/_layouts/DocIdRedir.aspx?ID=ATLASPDC-4-97201</Url>
      <Description>ATLASPDC-4-97201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FA842B-7FB2-4BB8-8B78-0CF1BEB165D9}"/>
</file>

<file path=customXml/itemProps2.xml><?xml version="1.0" encoding="utf-8"?>
<ds:datastoreItem xmlns:ds="http://schemas.openxmlformats.org/officeDocument/2006/customXml" ds:itemID="{DCDAF515-D0F2-41EB-ACFD-856B3FAD1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1F740-ACF3-4F8E-A336-EB5FAEDC5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EA6E4-0FDB-45ED-A0B3-151189CC65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01B9D2-2D16-468B-849B-A34C948B94DD}"/>
</file>

<file path=customXml/itemProps6.xml><?xml version="1.0" encoding="utf-8"?>
<ds:datastoreItem xmlns:ds="http://schemas.openxmlformats.org/officeDocument/2006/customXml" ds:itemID="{643EDF56-09EF-4EA3-9508-4F6939487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2036</Words>
  <Characters>11609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Document Template</vt:lpstr>
      <vt:lpstr>Project Document Template</vt:lpstr>
    </vt:vector>
  </TitlesOfParts>
  <Manager>BDP/BOM</Manager>
  <Company>UNDP</Company>
  <LinksUpToDate>false</LinksUpToDate>
  <CharactersWithSpaces>13618</CharactersWithSpaces>
  <SharedDoc>false</SharedDoc>
  <HLinks>
    <vt:vector size="6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http://www.un.org/Docs/sc/committees/1267/1267ListEng.htm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Document Template</dc:title>
  <dc:subject>Project Management</dc:subject>
  <dc:creator>anna.pylypchuk@undp.org</dc:creator>
  <cp:keywords/>
  <dc:description/>
  <cp:lastModifiedBy>Anna Pylypchuk</cp:lastModifiedBy>
  <cp:revision>5</cp:revision>
  <cp:lastPrinted>2019-01-31T13:35:00Z</cp:lastPrinted>
  <dcterms:created xsi:type="dcterms:W3CDTF">2019-02-07T11:25:00Z</dcterms:created>
  <dcterms:modified xsi:type="dcterms:W3CDTF">2019-02-22T15:52:00Z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UNDPGBL-229-67</vt:lpwstr>
  </property>
  <property fmtid="{D5CDD505-2E9C-101B-9397-08002B2CF9AE}" pid="3" name="_dlc_DocIdItemGuid">
    <vt:lpwstr>e01b6a0c-3303-45c1-b1f0-6a20ec823744</vt:lpwstr>
  </property>
  <property fmtid="{D5CDD505-2E9C-101B-9397-08002B2CF9AE}" pid="4" name="_dlc_DocIdUrl">
    <vt:lpwstr>https://intranet.undp.org/global/documents/_layouts/DocIdRedir.aspx?ID=UNDPGBL-229-67, UNDPGBL-229-67</vt:lpwstr>
  </property>
  <property fmtid="{D5CDD505-2E9C-101B-9397-08002B2CF9AE}" pid="5" name="UNDPPOPPFunctionalArea">
    <vt:lpwstr>Programme and Project</vt:lpwstr>
  </property>
  <property fmtid="{D5CDD505-2E9C-101B-9397-08002B2CF9AE}" pid="6" name="UNDPPOPPKeywordsTaxHTField0">
    <vt:lpwstr>Project Document|bf9937c4-130a-45b8-a7c6-11b0f1a350eb</vt:lpwstr>
  </property>
  <property fmtid="{D5CDD505-2E9C-101B-9397-08002B2CF9AE}" pid="7" name="UNDPResponsibleUnit">
    <vt:lpwstr>BDP/CDG</vt:lpwstr>
  </property>
  <property fmtid="{D5CDD505-2E9C-101B-9397-08002B2CF9AE}" pid="8" name="UNDPSubject">
    <vt:lpwstr/>
  </property>
  <property fmtid="{D5CDD505-2E9C-101B-9397-08002B2CF9AE}" pid="9" name="UNDPApplicability">
    <vt:lpwstr>All UNDP projects</vt:lpwstr>
  </property>
  <property fmtid="{D5CDD505-2E9C-101B-9397-08002B2CF9AE}" pid="10" name="UNDPPOPPProcess">
    <vt:lpwstr>Project Management</vt:lpwstr>
  </property>
  <property fmtid="{D5CDD505-2E9C-101B-9397-08002B2CF9AE}" pid="11" name="UNDPPOPPSubsubprocess">
    <vt:lpwstr/>
  </property>
  <property fmtid="{D5CDD505-2E9C-101B-9397-08002B2CF9AE}" pid="12" name="UNDPPOPPKeywords">
    <vt:lpwstr>46;#Project Document|bf9937c4-130a-45b8-a7c6-11b0f1a350eb</vt:lpwstr>
  </property>
  <property fmtid="{D5CDD505-2E9C-101B-9397-08002B2CF9AE}" pid="13" name="UNDPIsPartOf">
    <vt:lpwstr/>
  </property>
  <property fmtid="{D5CDD505-2E9C-101B-9397-08002B2CF9AE}" pid="14" name="UNDPPOPPSubprocess">
    <vt:lpwstr>Initiating a Project</vt:lpwstr>
  </property>
  <property fmtid="{D5CDD505-2E9C-101B-9397-08002B2CF9AE}" pid="15" name="TaxCatchAll">
    <vt:lpwstr>46;#Project Document|bf9937c4-130a-45b8-a7c6-11b0f1a350eb</vt:lpwstr>
  </property>
  <property fmtid="{D5CDD505-2E9C-101B-9397-08002B2CF9AE}" pid="16" name="ContentTypeId">
    <vt:lpwstr>0x010100F075C04BA242A84ABD3293E3AD35CDA400AB50428DC784B44FAACCAA5FAE40C0590045B5E632B552204ABF0E616DD66BDA0F</vt:lpwstr>
  </property>
  <property fmtid="{D5CDD505-2E9C-101B-9397-08002B2CF9AE}" pid="17" name="UNDPPlannedReviewDate">
    <vt:lpwstr>2013-04-05T00:00:00Z</vt:lpwstr>
  </property>
  <property fmtid="{D5CDD505-2E9C-101B-9397-08002B2CF9AE}" pid="18" name="Focalpoint">
    <vt:lpwstr>309;#UNDPHQ\dien.le</vt:lpwstr>
  </property>
  <property fmtid="{D5CDD505-2E9C-101B-9397-08002B2CF9AE}" pid="19" name="UNDPEffectiveDate">
    <vt:lpwstr>2012-04-05T00:00:00Z</vt:lpwstr>
  </property>
  <property fmtid="{D5CDD505-2E9C-101B-9397-08002B2CF9AE}" pid="20" name="UNDPCreator">
    <vt:lpwstr>266;#UNDPHQ\judith.puyat-magnaye</vt:lpwstr>
  </property>
  <property fmtid="{D5CDD505-2E9C-101B-9397-08002B2CF9AE}" pid="21" name="UNDPSummary">
    <vt:lpwstr/>
  </property>
  <property fmtid="{D5CDD505-2E9C-101B-9397-08002B2CF9AE}" pid="22" name="UNDPPublishedDate">
    <vt:lpwstr>2012-04-05T00:00:00Z</vt:lpwstr>
  </property>
  <property fmtid="{D5CDD505-2E9C-101B-9397-08002B2CF9AE}" pid="23" name="UNDPIssuanceDate">
    <vt:lpwstr>2012-04-05T00:00:00Z</vt:lpwstr>
  </property>
  <property fmtid="{D5CDD505-2E9C-101B-9397-08002B2CF9AE}" pid="24" name="display_urn:schemas-microsoft-com:office:office#UNDPCreator">
    <vt:lpwstr>Judith Puyat-magnaye</vt:lpwstr>
  </property>
  <property fmtid="{D5CDD505-2E9C-101B-9397-08002B2CF9AE}" pid="25" name="display_urn:schemas-microsoft-com:office:office#Focalpoint">
    <vt:lpwstr>Dien Le</vt:lpwstr>
  </property>
  <property fmtid="{D5CDD505-2E9C-101B-9397-08002B2CF9AE}" pid="26" name="Order">
    <vt:lpwstr>6700.00000000000</vt:lpwstr>
  </property>
  <property fmtid="{D5CDD505-2E9C-101B-9397-08002B2CF9AE}" pid="27" name="UNDPPOPPPrescriptiveContentSelection">
    <vt:lpwstr>Yes</vt:lpwstr>
  </property>
  <property fmtid="{D5CDD505-2E9C-101B-9397-08002B2CF9AE}" pid="28" name="UNDPPOPPSubsubsubprocess">
    <vt:lpwstr/>
  </property>
  <property fmtid="{D5CDD505-2E9C-101B-9397-08002B2CF9AE}" pid="29" name="UNDPActualReviewDate">
    <vt:lpwstr/>
  </property>
  <property fmtid="{D5CDD505-2E9C-101B-9397-08002B2CF9AE}" pid="30" name="Type of document">
    <vt:lpwstr/>
  </property>
  <property fmtid="{D5CDD505-2E9C-101B-9397-08002B2CF9AE}" pid="31" name="UNDPCountry">
    <vt:lpwstr/>
  </property>
  <property fmtid="{D5CDD505-2E9C-101B-9397-08002B2CF9AE}" pid="32" name="UN Languages">
    <vt:lpwstr>1;#English|7f98b732-4b5b-4b70-ba90-a0eff09b5d2d</vt:lpwstr>
  </property>
  <property fmtid="{D5CDD505-2E9C-101B-9397-08002B2CF9AE}" pid="33" name="Operating Unit0">
    <vt:lpwstr>1691;#UKR|ac2a8763-b8b1-4ebb-b99d-0d83724bc392</vt:lpwstr>
  </property>
  <property fmtid="{D5CDD505-2E9C-101B-9397-08002B2CF9AE}" pid="34" name="Atlas Document Status">
    <vt:lpwstr>763;#Draft|121d40a5-e62e-4d42-82e4-d6d12003de0a</vt:lpwstr>
  </property>
  <property fmtid="{D5CDD505-2E9C-101B-9397-08002B2CF9AE}" pid="35" name="Atlas Document Type">
    <vt:lpwstr>1113;#Annual/Multi-Year Workplan|32cd623a-3734-435b-a6ba-7b0d4a2fa8e7</vt:lpwstr>
  </property>
  <property fmtid="{D5CDD505-2E9C-101B-9397-08002B2CF9AE}" pid="36" name="eRegFilingCodeMM">
    <vt:lpwstr/>
  </property>
  <property fmtid="{D5CDD505-2E9C-101B-9397-08002B2CF9AE}" pid="37" name="UndpUnitMM">
    <vt:lpwstr/>
  </property>
  <property fmtid="{D5CDD505-2E9C-101B-9397-08002B2CF9AE}" pid="38" name="UNDPFocusAreas">
    <vt:lpwstr/>
  </property>
  <property fmtid="{D5CDD505-2E9C-101B-9397-08002B2CF9AE}" pid="39" name="UndpDocTypeMM">
    <vt:lpwstr/>
  </property>
  <property fmtid="{D5CDD505-2E9C-101B-9397-08002B2CF9AE}" pid="40" name="UNDPDocumentCategory">
    <vt:lpwstr/>
  </property>
  <property fmtid="{D5CDD505-2E9C-101B-9397-08002B2CF9AE}" pid="41" name="DocumentSetDescription">
    <vt:lpwstr/>
  </property>
  <property fmtid="{D5CDD505-2E9C-101B-9397-08002B2CF9AE}" pid="42" name="UnitTaxHTField0">
    <vt:lpwstr/>
  </property>
  <property fmtid="{D5CDD505-2E9C-101B-9397-08002B2CF9AE}" pid="43" name="Unit">
    <vt:lpwstr/>
  </property>
  <property fmtid="{D5CDD505-2E9C-101B-9397-08002B2CF9AE}" pid="44" name="URL">
    <vt:lpwstr/>
  </property>
</Properties>
</file>